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Business Cooperation Contract (BCC) Template (2026 Edition)</w:t>
      </w:r>
    </w:p>
    <w:bookmarkStart w:id="25" w:name="business-cooperation-contract-bcc"/>
    <w:p>
      <w:pPr>
        <w:pStyle w:val="Heading1"/>
      </w:pPr>
      <w:r>
        <w:t xml:space="preserve">BUSINESS COOPERATION CONTRACT (BCC)</w:t>
      </w:r>
    </w:p>
    <w:p>
      <w:pPr>
        <w:pStyle w:val="FirstParagraph"/>
      </w:pPr>
      <w:r>
        <w:rPr>
          <w:b/>
          <w:bCs/>
        </w:rPr>
        <w:t xml:space="preserve">HỢP ĐỒNG HỢP TÁC KINH DOANH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＿＿＿＿/20＿＿/HĐHTKD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READ BEFORE SIGNING — does this contract require an Investment Registration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Certificate (IRC) first?</w:t>
      </w:r>
    </w:p>
    <w:p>
      <w:pPr>
        <w:pStyle w:val="BlockText"/>
      </w:pPr>
      <w:r>
        <w:t xml:space="preserve">Under</w:t>
      </w:r>
      <w:r>
        <w:t xml:space="preserve"> </w:t>
      </w:r>
      <w:r>
        <w:rPr>
          <w:b/>
          <w:bCs/>
        </w:rPr>
        <w:t xml:space="preserve">Article 27 of the Investment Law No. 61/2020/QH14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Contracting parties</w:t>
            </w:r>
          </w:p>
        </w:tc>
        <w:tc>
          <w:tcPr/>
          <w:p>
            <w:pPr>
              <w:pStyle w:val="Compact"/>
            </w:pPr>
            <w:r>
              <w:t xml:space="preserve">IRC required?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Between domestic investors</w:t>
            </w:r>
            <w:r>
              <w:t xml:space="preserve"> </w:t>
            </w:r>
            <w:r>
              <w:t xml:space="preserve">(Vietnamese individuals, legal entities and enterprises established under Vietnamese law)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governed by civil law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Domestic investor × foreign investor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 </w:t>
            </w:r>
            <w:r>
              <w:t xml:space="preserve">— under Article 38 of that Law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Between foreign investors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 </w:t>
            </w:r>
            <w:r>
              <w:t xml:space="preserve">— under Article 38</w:t>
            </w:r>
          </w:p>
        </w:tc>
      </w:tr>
    </w:tbl>
    <w:p>
      <w:pPr>
        <w:pStyle w:val="BlockText"/>
      </w:pPr>
      <w:r>
        <w:rPr>
          <w:b/>
          <w:bCs/>
        </w:rPr>
        <w:t xml:space="preserve">If any Party is a foreign investor, the IRC must be obtained before business</w:t>
      </w:r>
      <w:r>
        <w:rPr>
          <w:b/>
          <w:bCs/>
        </w:rPr>
        <w:t xml:space="preserve"> </w:t>
      </w:r>
      <w:r>
        <w:rPr>
          <w:b/>
          <w:bCs/>
        </w:rPr>
        <w:t xml:space="preserve">operations begin.</w:t>
      </w:r>
      <w:r>
        <w:t xml:space="preserve"> </w:t>
      </w:r>
      <w:r>
        <w:t xml:space="preserve">The original template made no mention of this at all.</w:t>
      </w:r>
      <w:r>
        <w:t xml:space="preserve"> </w:t>
      </w:r>
      <w:r>
        <w:t xml:space="preserve">The statutory period for issuing an IRC is</w:t>
      </w:r>
      <w:r>
        <w:t xml:space="preserve"> </w:t>
      </w:r>
      <w:r>
        <w:rPr>
          <w:b/>
          <w:bCs/>
        </w:rPr>
        <w:t xml:space="preserve">15 days</w:t>
      </w:r>
      <w:r>
        <w:t xml:space="preserve"> </w:t>
      </w:r>
      <w:r>
        <w:t xml:space="preserve">from receipt of a valid application</w:t>
      </w:r>
      <w:r>
        <w:t xml:space="preserve"> </w:t>
      </w:r>
      <w:r>
        <w:t xml:space="preserve">(Article 38); in practice it usually takes longer.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Investment Law No. 61/2020/QH14</w:t>
      </w:r>
      <w:r>
        <w:t xml:space="preserve">;</w:t>
      </w:r>
    </w:p>
    <w:p>
      <w:pPr>
        <w:pStyle w:val="BodyText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Civil Code No. 91/2015/QH13</w:t>
      </w:r>
      <w:r>
        <w:t xml:space="preserve">;</w:t>
      </w:r>
    </w:p>
    <w:p>
      <w:pPr>
        <w:pStyle w:val="BodyText"/>
      </w:pPr>
      <w:r>
        <w:t xml:space="preserve">Pursuant to the needs and mutual agreement of the Parties;</w:t>
      </w:r>
    </w:p>
    <w:p>
      <w:pPr>
        <w:pStyle w:val="BodyText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at </w:t>
      </w:r>
      <w:r>
        <w:rPr>
          <w:rFonts w:hint="eastAsia"/>
        </w:rPr>
        <w:t xml:space="preserve">＿＿＿＿＿＿＿＿＿＿＿＿,</w:t>
      </w:r>
      <w:r>
        <w:t xml:space="preserve"> we, the undersigned: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party-a"/>
    <w:p>
      <w:pPr>
        <w:pStyle w:val="Heading3"/>
      </w:pPr>
      <w:r>
        <w:t xml:space="preserve">PARTY 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 office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Registration Certificate (ERC)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Issuing authority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Business Registration and Corporate Finance Division, Department of Finance</w:t>
            </w:r>
            <w:r>
              <w:t xml:space="preserve"> </w:t>
            </w:r>
            <w:r>
              <w:t xml:space="preserve">of </w:t>
            </w:r>
            <w:r>
              <w:rPr>
                <w:rFonts w:hint="eastAsia"/>
              </w:rPr>
              <w:t xml:space="preserve">＿＿＿＿＿＿</w:t>
            </w:r>
            <w:r>
              <w:t xml:space="preserve"> province/city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</w:t>
            </w:r>
            <w:r>
              <w:t xml:space="preserve"> / </w:t>
            </w:r>
            <w:r>
              <w:rPr>
                <w:rFonts w:hint="eastAsia"/>
              </w:rPr>
              <w:t xml:space="preserve">＿＿</w:t>
            </w:r>
            <w:r>
              <w:t xml:space="preserve"> / </w:t>
            </w:r>
            <w:r>
              <w:rPr>
                <w:rFonts w:hint="eastAsia"/>
              </w:rPr>
              <w:t xml:space="preserve">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Investment Registration Certificate (IRC) No.</w:t>
            </w:r>
            <w:r>
              <w:t xml:space="preserve"> </w:t>
            </w:r>
            <w:r>
              <w:t xml:space="preserve">(mandatory for foreign investors)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 / 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category</w:t>
            </w:r>
          </w:p>
        </w:tc>
        <w:tc>
          <w:tcPr/>
          <w:p>
            <w:pPr>
              <w:pStyle w:val="Compact"/>
            </w:pPr>
            <w:r>
              <w:t xml:space="preserve">☐ Domestic　☐ Foreign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name of the issuing authority has been updated</w:t>
      </w:r>
      <w:r>
        <w:t xml:space="preserve">: the original template read</w:t>
      </w:r>
      <w:r>
        <w:t xml:space="preserve"> </w:t>
      </w:r>
      <w:r>
        <w:t xml:space="preserve">“issued by the Business Registration Office of the </w:t>
      </w:r>
      <w:r>
        <w:rPr>
          <w:rFonts w:hint="eastAsia"/>
        </w:rPr>
        <w:t xml:space="preserve">＿＿＿</w:t>
      </w:r>
      <w:r>
        <w:t xml:space="preserve"> </w:t>
      </w:r>
      <w:r>
        <w:rPr>
          <w:b/>
          <w:bCs/>
        </w:rPr>
        <w:t xml:space="preserve">Department of Planning and</w:t>
      </w:r>
      <w:r>
        <w:rPr>
          <w:b/>
          <w:bCs/>
        </w:rPr>
        <w:t xml:space="preserve"> </w:t>
      </w:r>
      <w:r>
        <w:rPr>
          <w:b/>
          <w:bCs/>
        </w:rPr>
        <w:t xml:space="preserve">Investment</w:t>
      </w:r>
      <w:r>
        <w:t xml:space="preserve">”</w:t>
      </w:r>
      <w:r>
        <w:t xml:space="preserve">. The Department of Planning and Investment has been</w:t>
      </w:r>
      <w:r>
        <w:t xml:space="preserve"> </w:t>
      </w:r>
      <w:r>
        <w:rPr>
          <w:b/>
          <w:bCs/>
        </w:rPr>
        <w:t xml:space="preserve">merged into the</w:t>
      </w:r>
      <w:r>
        <w:rPr>
          <w:b/>
          <w:bCs/>
        </w:rPr>
        <w:t xml:space="preserve"> </w:t>
      </w:r>
      <w:r>
        <w:rPr>
          <w:b/>
          <w:bCs/>
        </w:rPr>
        <w:t xml:space="preserve">Department of Finance</w:t>
      </w:r>
      <w:r>
        <w:t xml:space="preserve">; business registration is now handled by the</w:t>
      </w:r>
      <w:r>
        <w:t xml:space="preserve"> </w:t>
      </w:r>
      <w:r>
        <w:rPr>
          <w:b/>
          <w:bCs/>
        </w:rPr>
        <w:t xml:space="preserve">Business Registration and Corporate Finance Division</w:t>
      </w:r>
      <w:r>
        <w:t xml:space="preserve"> </w:t>
      </w:r>
      <w:r>
        <w:t xml:space="preserve">of the Department of Finance.</w:t>
      </w:r>
      <w:r>
        <w:t xml:space="preserve"> </w:t>
      </w:r>
      <w:r>
        <w:t xml:space="preserve">When completing details of an existing certificate, use the authority named on that</w:t>
      </w:r>
      <w:r>
        <w:t xml:space="preserve"> </w:t>
      </w:r>
      <w:r>
        <w:t xml:space="preserve">certificate; for newly issued certificates use the current name.</w:t>
      </w:r>
    </w:p>
    <w:bookmarkEnd w:id="9"/>
    <w:bookmarkStart w:id="10" w:name="party-b"/>
    <w:p>
      <w:pPr>
        <w:pStyle w:val="Heading3"/>
      </w:pPr>
      <w:r>
        <w:t xml:space="preserve">PARTY 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 office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Registration Certificate (ERC)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Issuing authority / 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Investment Registration Certificate (IRC) No.</w:t>
            </w:r>
            <w:r>
              <w:t xml:space="preserve"> </w:t>
            </w:r>
            <w:r>
              <w:t xml:space="preserve">(mandatory for foreign investors)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 (bank / number)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 / 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Power of attorney no. / date (where the signatory is not the legal representative)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category</w:t>
            </w:r>
          </w:p>
        </w:tc>
        <w:tc>
          <w:tcPr/>
          <w:p>
            <w:pPr>
              <w:pStyle w:val="Compact"/>
            </w:pPr>
            <w:r>
              <w:t xml:space="preserve">☐ Domestic　☐ Foreign</w:t>
            </w:r>
          </w:p>
        </w:tc>
      </w:tr>
    </w:tbl>
    <w:p>
      <w:pPr>
        <w:pStyle w:val="BodyText"/>
      </w:pPr>
      <w:r>
        <w:t xml:space="preserve">The Parties agree to enter into this business cooperation contract (the</w:t>
      </w:r>
      <w:r>
        <w:t xml:space="preserve"> </w:t>
      </w:r>
      <w:r>
        <w:t xml:space="preserve">“</w:t>
      </w:r>
      <w:r>
        <w:rPr>
          <w:b/>
          <w:bCs/>
        </w:rPr>
        <w:t xml:space="preserve">Contract</w:t>
      </w:r>
      <w:r>
        <w:t xml:space="preserve">”</w:t>
      </w:r>
      <w:r>
        <w:t xml:space="preserve">)</w:t>
      </w:r>
      <w:r>
        <w:t xml:space="preserve"> </w:t>
      </w:r>
      <w:r>
        <w:t xml:space="preserve">and undertake to observe the following terms: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art-ii-terms-and-conditions"/>
    <w:p>
      <w:pPr>
        <w:pStyle w:val="Heading2"/>
      </w:pPr>
      <w:r>
        <w:t xml:space="preserve">PART II: TERMS AND CONDITIONS</w:t>
      </w:r>
    </w:p>
    <w:bookmarkStart w:id="12" w:name="X10081290b2c0cf580a0d5405727dcea56b70b28"/>
    <w:p>
      <w:pPr>
        <w:pStyle w:val="Heading3"/>
      </w:pPr>
      <w:r>
        <w:t xml:space="preserve">Article 1. Objectives and Scope of Cooperation</w:t>
      </w:r>
    </w:p>
    <w:p>
      <w:pPr>
        <w:pStyle w:val="FirstParagraph"/>
      </w:pPr>
      <w:r>
        <w:rPr>
          <w:b/>
          <w:bCs/>
        </w:rPr>
        <w:t xml:space="preserve">1.1. Objectives</w:t>
      </w:r>
      <w:r>
        <w:t xml:space="preserve">: </w:t>
      </w:r>
      <w:r>
        <w:rPr>
          <w:rFonts w:hint="eastAsia"/>
        </w:rPr>
        <w:t xml:space="preserve">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1.2. Business scope and project location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1.3.</w:t>
      </w:r>
      <w:r>
        <w:t xml:space="preserve"> </w:t>
      </w:r>
      <w:r>
        <w:t xml:space="preserve">The Parties confirm that the business scope above is not within any sector</w:t>
      </w:r>
      <w:r>
        <w:t xml:space="preserve"> </w:t>
      </w:r>
      <w:r>
        <w:t xml:space="preserve">prohibited or restricted for foreign investors; where it falls within a restricted sector,</w:t>
      </w:r>
      <w:r>
        <w:t xml:space="preserve"> </w:t>
      </w:r>
      <w:r>
        <w:t xml:space="preserve">the Parties shall first satisfy the market-access conditions.</w:t>
      </w:r>
    </w:p>
    <w:p>
      <w:pPr>
        <w:pStyle w:val="BlockText"/>
      </w:pPr>
      <w:r>
        <w:rPr>
          <w:b/>
          <w:bCs/>
        </w:rPr>
        <w:t xml:space="preserve">Article 28.1 of the Investment Law 2020</w:t>
      </w:r>
      <w:r>
        <w:t xml:space="preserve"> </w:t>
      </w:r>
      <w:r>
        <w:t xml:space="preserve">sets the</w:t>
      </w:r>
      <w:r>
        <w:t xml:space="preserve"> </w:t>
      </w:r>
      <w:r>
        <w:rPr>
          <w:b/>
          <w:bCs/>
        </w:rPr>
        <w:t xml:space="preserve">mandatory contents</w:t>
      </w:r>
      <w:r>
        <w:t xml:space="preserve"> </w:t>
      </w:r>
      <w:r>
        <w:t xml:space="preserve">of a BCC:</w:t>
      </w:r>
      <w:r>
        <w:t xml:space="preserve"> </w:t>
      </w:r>
      <w:r>
        <w:t xml:space="preserve">names and addresses of the parties; business objectives and scope; contributions and</w:t>
      </w:r>
      <w:r>
        <w:t xml:space="preserve"> </w:t>
      </w:r>
      <w:r>
        <w:t xml:space="preserve">distribution of results; schedule and duration; rights and obligations; amendment,</w:t>
      </w:r>
      <w:r>
        <w:t xml:space="preserve"> </w:t>
      </w:r>
      <w:r>
        <w:t xml:space="preserve">transfer and termination; liability for breach; and dispute resolution. This template</w:t>
      </w:r>
      <w:r>
        <w:t xml:space="preserve"> </w:t>
      </w:r>
      <w:r>
        <w:t xml:space="preserve">follows that structure — do not omit any of those items when completing it.</w:t>
      </w:r>
    </w:p>
    <w:bookmarkEnd w:id="12"/>
    <w:bookmarkStart w:id="13" w:name="article-2.-duration"/>
    <w:p>
      <w:pPr>
        <w:pStyle w:val="Heading3"/>
      </w:pPr>
      <w:r>
        <w:t xml:space="preserve">Article 2. Duration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The cooperation runs for </w:t>
      </w:r>
      <w:r>
        <w:rPr>
          <w:rFonts w:hint="eastAsia"/>
        </w:rPr>
        <w:t xml:space="preserve">＿＿＿</w:t>
      </w:r>
      <w:r>
        <w:t xml:space="preserve"> years, from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  <w:r>
        <w:t xml:space="preserve"> to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The duration may be extended by written agreement. Where a foreign investor is</w:t>
      </w:r>
      <w:r>
        <w:t xml:space="preserve"> </w:t>
      </w:r>
      <w:r>
        <w:t xml:space="preserve">involved, a change of duration also requires amendment of the Investment Registration</w:t>
      </w:r>
      <w:r>
        <w:t xml:space="preserve"> </w:t>
      </w:r>
      <w:r>
        <w:t xml:space="preserve">Certificate.</w:t>
      </w:r>
    </w:p>
    <w:bookmarkEnd w:id="13"/>
    <w:bookmarkStart w:id="14" w:name="Xfc4bba09b5bf034f72dd8ad0afcb4f7e1774c1a"/>
    <w:p>
      <w:pPr>
        <w:pStyle w:val="Heading3"/>
      </w:pPr>
      <w:r>
        <w:t xml:space="preserve">Article 3. Contributions and Distribution of Results</w:t>
      </w:r>
    </w:p>
    <w:p>
      <w:pPr>
        <w:pStyle w:val="FirstParagraph"/>
      </w:pPr>
      <w:r>
        <w:rPr>
          <w:b/>
          <w:bCs/>
        </w:rPr>
        <w:t xml:space="preserve">3.1. Contributions and their valuation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Contributing Party</w:t>
            </w:r>
          </w:p>
        </w:tc>
        <w:tc>
          <w:tcPr/>
          <w:p>
            <w:pPr>
              <w:pStyle w:val="Compact"/>
            </w:pPr>
            <w:r>
              <w:t xml:space="preserve">Contribution</w:t>
            </w:r>
          </w:p>
        </w:tc>
        <w:tc>
          <w:tcPr/>
          <w:p>
            <w:pPr>
              <w:pStyle w:val="Compact"/>
            </w:pPr>
            <w:r>
              <w:t xml:space="preserve">Valuation method</w:t>
            </w:r>
          </w:p>
        </w:tc>
        <w:tc>
          <w:tcPr/>
          <w:p>
            <w:pPr>
              <w:pStyle w:val="Compact"/>
            </w:pPr>
            <w:r>
              <w:t xml:space="preserve">Value (VND)</w:t>
            </w:r>
          </w:p>
        </w:tc>
        <w:tc>
          <w:tcPr/>
          <w:p>
            <w:pPr>
              <w:pStyle w:val="Compact"/>
            </w:pPr>
            <w:r>
              <w:t xml:space="preserve">Time of contribution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Where the contribution is in kind, in rights of use, or in intangible assets, a</w:t>
      </w:r>
      <w:r>
        <w:rPr>
          <w:b/>
          <w:bCs/>
        </w:rPr>
        <w:t xml:space="preserve"> </w:t>
      </w:r>
      <w:r>
        <w:rPr>
          <w:b/>
          <w:bCs/>
        </w:rPr>
        <w:t xml:space="preserve">valuation method must be agreed</w:t>
      </w:r>
      <w:r>
        <w:t xml:space="preserve"> </w:t>
      </w:r>
      <w:r>
        <w:t xml:space="preserve">(agreement between the Parties, or independent</w:t>
      </w:r>
      <w:r>
        <w:t xml:space="preserve"> </w:t>
      </w:r>
      <w:r>
        <w:t xml:space="preserve">valuation). The original template said only</w:t>
      </w:r>
      <w:r>
        <w:t xml:space="preserve"> </w:t>
      </w:r>
      <w:r>
        <w:t xml:space="preserve">“contributes the value of…”</w:t>
      </w:r>
      <w:r>
        <w:t xml:space="preserve"> </w:t>
      </w:r>
      <w:r>
        <w:t xml:space="preserve">without stating</w:t>
      </w:r>
      <w:r>
        <w:t xml:space="preserve"> </w:t>
      </w:r>
      <w:r>
        <w:t xml:space="preserve">how that value is fixed — a ready source of dispute at profit distribution and liquidation.</w:t>
      </w:r>
    </w:p>
    <w:p>
      <w:pPr>
        <w:pStyle w:val="FirstParagraph"/>
      </w:pPr>
      <w:r>
        <w:rPr>
          <w:b/>
          <w:bCs/>
        </w:rPr>
        <w:t xml:space="preserve">3.2. Title to and risk in contributions</w:t>
      </w:r>
      <w:r>
        <w:t xml:space="preserve">: each Party warrants that its contributed</w:t>
      </w:r>
      <w:r>
        <w:t xml:space="preserve"> </w:t>
      </w:r>
      <w:r>
        <w:t xml:space="preserve">assets are lawfully owned, undisputed and unencumbered; where the contribution is a right</w:t>
      </w:r>
      <w:r>
        <w:t xml:space="preserve"> </w:t>
      </w:r>
      <w:r>
        <w:t xml:space="preserve">of use, ownership of the asset does not pass.</w:t>
      </w:r>
    </w:p>
    <w:p>
      <w:pPr>
        <w:pStyle w:val="BodyText"/>
      </w:pPr>
      <w:r>
        <w:rPr>
          <w:b/>
          <w:bCs/>
        </w:rPr>
        <w:t xml:space="preserve">3.3. Profit sharing</w:t>
      </w:r>
      <w:r>
        <w:t xml:space="preserve">: Party A </w:t>
      </w:r>
      <w:r>
        <w:rPr>
          <w:rFonts w:hint="eastAsia"/>
        </w:rPr>
        <w:t xml:space="preserve">＿＿＿</w:t>
      </w:r>
      <w:r>
        <w:t xml:space="preserve"> %, Party B </w:t>
      </w:r>
      <w:r>
        <w:rPr>
          <w:rFonts w:hint="eastAsia"/>
        </w:rPr>
        <w:t xml:space="preserve">＿＿＿</w:t>
      </w:r>
      <w:r>
        <w:t xml:space="preserve"> %, calculated on</w:t>
      </w:r>
      <w:r>
        <w:t xml:space="preserve"> </w:t>
      </w:r>
      <w:r>
        <w:rPr>
          <w:b/>
          <w:bCs/>
        </w:rPr>
        <w:t xml:space="preserve">after-tax profit</w:t>
      </w:r>
      <w:r>
        <w:t xml:space="preserve"> </w:t>
      </w:r>
      <w:r>
        <w:t xml:space="preserve">once obligations to the State have been discharged.</w:t>
      </w:r>
    </w:p>
    <w:p>
      <w:pPr>
        <w:pStyle w:val="BodyText"/>
      </w:pPr>
      <w:r>
        <w:rPr>
          <w:b/>
          <w:bCs/>
        </w:rPr>
        <w:t xml:space="preserve">3.4. Loss sharing</w:t>
      </w:r>
      <w:r>
        <w:t xml:space="preserve">: Party A </w:t>
      </w:r>
      <w:r>
        <w:rPr>
          <w:rFonts w:hint="eastAsia"/>
        </w:rPr>
        <w:t xml:space="preserve">＿＿＿</w:t>
      </w:r>
      <w:r>
        <w:t xml:space="preserve"> %, Party B </w:t>
      </w:r>
      <w:r>
        <w:rPr>
          <w:rFonts w:hint="eastAsia"/>
        </w:rPr>
        <w:t xml:space="preserve">＿＿＿</w:t>
      </w:r>
      <w:r>
        <w:t xml:space="preserve"> %.</w:t>
      </w:r>
    </w:p>
    <w:p>
      <w:pPr>
        <w:pStyle w:val="BlockText"/>
      </w:pPr>
      <w:r>
        <w:t xml:space="preserve">The original template</w:t>
      </w:r>
      <w:r>
        <w:t xml:space="preserve"> </w:t>
      </w:r>
      <w:r>
        <w:rPr>
          <w:b/>
          <w:bCs/>
        </w:rPr>
        <w:t xml:space="preserve">provided for profit sharing only, with no loss sharing</w:t>
      </w:r>
      <w:r>
        <w:t xml:space="preserve">.</w:t>
      </w:r>
      <w:r>
        <w:t xml:space="preserve"> </w:t>
      </w:r>
      <w:r>
        <w:t xml:space="preserve">Article 28 requires agreement on</w:t>
      </w:r>
      <w:r>
        <w:t xml:space="preserve"> </w:t>
      </w:r>
      <w:r>
        <w:t xml:space="preserve">“distribution of business results”</w:t>
      </w:r>
      <w:r>
        <w:t xml:space="preserve">, and losses are part</w:t>
      </w:r>
      <w:r>
        <w:t xml:space="preserve"> </w:t>
      </w:r>
      <w:r>
        <w:t xml:space="preserve">of those results. Without this clause, a loss leaves nothing to apply.</w:t>
      </w:r>
    </w:p>
    <w:p>
      <w:pPr>
        <w:pStyle w:val="FirstParagraph"/>
      </w:pPr>
      <w:r>
        <w:rPr>
          <w:b/>
          <w:bCs/>
        </w:rPr>
        <w:t xml:space="preserve">3.5. Time of distribution</w:t>
      </w:r>
      <w:r>
        <w:t xml:space="preserve">: the last day of each financial year;</w:t>
      </w:r>
      <w:r>
        <w:t xml:space="preserve"> </w:t>
      </w:r>
      <w:r>
        <w:t xml:space="preserve">the financial year begins on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3.6. Scope of operating costs</w:t>
      </w:r>
      <w:r>
        <w:t xml:space="preserve"> </w:t>
      </w:r>
      <w:r>
        <w:t xml:space="preserve">(recorded as actually incurred, against lawful vouchers):</w:t>
      </w:r>
    </w:p>
    <w:p>
      <w:pPr>
        <w:pStyle w:val="Compact"/>
        <w:numPr>
          <w:ilvl w:val="0"/>
          <w:numId w:val="1001"/>
        </w:numPr>
      </w:pPr>
      <w:r>
        <w:t xml:space="preserve">Purchases of raw materials and goods;</w:t>
      </w:r>
    </w:p>
    <w:p>
      <w:pPr>
        <w:pStyle w:val="Compact"/>
        <w:numPr>
          <w:ilvl w:val="0"/>
          <w:numId w:val="1001"/>
        </w:numPr>
      </w:pPr>
      <w:r>
        <w:t xml:space="preserve">Employee wages and statutory labour costs including social insurance;</w:t>
      </w:r>
    </w:p>
    <w:p>
      <w:pPr>
        <w:pStyle w:val="Compact"/>
        <w:numPr>
          <w:ilvl w:val="0"/>
          <w:numId w:val="1001"/>
        </w:numPr>
      </w:pPr>
      <w:r>
        <w:t xml:space="preserve">Electricity, water, fuel and utilities;</w:t>
      </w:r>
    </w:p>
    <w:p>
      <w:pPr>
        <w:pStyle w:val="Compact"/>
        <w:numPr>
          <w:ilvl w:val="0"/>
          <w:numId w:val="1001"/>
        </w:numPr>
      </w:pPr>
      <w:r>
        <w:t xml:space="preserve">Depreciation;</w:t>
      </w:r>
    </w:p>
    <w:p>
      <w:pPr>
        <w:pStyle w:val="Compact"/>
        <w:numPr>
          <w:ilvl w:val="0"/>
          <w:numId w:val="1001"/>
        </w:numPr>
      </w:pPr>
      <w:r>
        <w:t xml:space="preserve">Repair and maintenance of machinery, equipment and premises;</w:t>
      </w:r>
    </w:p>
    <w:p>
      <w:pPr>
        <w:pStyle w:val="Compact"/>
        <w:numPr>
          <w:ilvl w:val="0"/>
          <w:numId w:val="1001"/>
        </w:numPr>
      </w:pPr>
      <w:r>
        <w:t xml:space="preserve">Taxes and other obligations to the State;</w:t>
      </w:r>
    </w:p>
    <w:p>
      <w:pPr>
        <w:pStyle w:val="Compact"/>
        <w:numPr>
          <w:ilvl w:val="0"/>
          <w:numId w:val="1001"/>
        </w:numPr>
      </w:pPr>
      <w:r>
        <w:t xml:space="preserve">Other costs confirmed by both Parties: </w:t>
      </w:r>
      <w:r>
        <w:rPr>
          <w:rFonts w:hint="eastAsia"/>
        </w:rPr>
        <w:t xml:space="preserve">＿＿＿＿＿＿.</w:t>
      </w:r>
    </w:p>
    <w:bookmarkEnd w:id="14"/>
    <w:bookmarkStart w:id="15" w:name="X2f2962562541121407ff9bdf842558b015e5412"/>
    <w:p>
      <w:pPr>
        <w:pStyle w:val="Heading3"/>
      </w:pPr>
      <w:r>
        <w:t xml:space="preserve">Article 4. Financial and Accounting Principles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The Parties observe the financial and accounting principles of Vietnamese</w:t>
      </w:r>
      <w:r>
        <w:t xml:space="preserve"> </w:t>
      </w:r>
      <w:r>
        <w:t xml:space="preserve">accounting law.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All receipts and payments relating to the business must be recorded clearly,</w:t>
      </w:r>
      <w:r>
        <w:t xml:space="preserve"> </w:t>
      </w:r>
      <w:r>
        <w:t xml:space="preserve">completely and truthfully, with lawful vouchers retained.</w:t>
      </w:r>
    </w:p>
    <w:p>
      <w:pPr>
        <w:pStyle w:val="BodyText"/>
      </w:pPr>
      <w:r>
        <w:rPr>
          <w:b/>
          <w:bCs/>
        </w:rPr>
        <w:t xml:space="preserve">4.3. Party responsible for tax declaration and payment</w:t>
      </w:r>
      <w:r>
        <w:t xml:space="preserve">: obligations to declare and pay</w:t>
      </w:r>
      <w:r>
        <w:t xml:space="preserve"> </w:t>
      </w:r>
      <w:r>
        <w:t xml:space="preserve">tax in respect of this cooperation rest with ☐ Party A　☐ Party B　☐ both Parties as agreed;</w:t>
      </w:r>
      <w:r>
        <w:t xml:space="preserve"> </w:t>
      </w:r>
      <w:r>
        <w:t xml:space="preserve">specifics: </w:t>
      </w:r>
      <w:r>
        <w:rPr>
          <w:rFonts w:hint="eastAsia"/>
        </w:rPr>
        <w:t xml:space="preserve">＿＿＿＿＿＿＿＿＿＿＿＿.</w:t>
      </w:r>
      <w:r>
        <w:t xml:space="preserve"> The Parties shall confirm this with a tax adviser</w:t>
      </w:r>
      <w:r>
        <w:t xml:space="preserve"> </w:t>
      </w:r>
      <w:r>
        <w:t xml:space="preserve">before signing.</w:t>
      </w:r>
    </w:p>
    <w:p>
      <w:pPr>
        <w:pStyle w:val="BlockText"/>
      </w:pPr>
      <w:r>
        <w:t xml:space="preserve">The original template folded tax obligations into Party B’s duties (Clause 7.5).</w:t>
      </w:r>
      <w:r>
        <w:t xml:space="preserve"> </w:t>
      </w:r>
      <w:r>
        <w:t xml:space="preserve">A BCC creates no separate legal entity;</w:t>
      </w:r>
      <w:r>
        <w:t xml:space="preserve"> </w:t>
      </w:r>
      <w:r>
        <w:rPr>
          <w:b/>
          <w:bCs/>
        </w:rPr>
        <w:t xml:space="preserve">identifying the taxpayer directly affects</w:t>
      </w:r>
      <w:r>
        <w:rPr>
          <w:b/>
          <w:bCs/>
        </w:rPr>
        <w:t xml:space="preserve"> </w:t>
      </w:r>
      <w:r>
        <w:rPr>
          <w:b/>
          <w:bCs/>
        </w:rPr>
        <w:t xml:space="preserve">invoicing, input credit and the base on which distributable profit is computed</w:t>
      </w:r>
      <w:r>
        <w:t xml:space="preserve">,</w:t>
      </w:r>
      <w:r>
        <w:t xml:space="preserve"> </w:t>
      </w:r>
      <w:r>
        <w:t xml:space="preserve">so it must be stated in the contract and confirmed in advance with the tax authority</w:t>
      </w:r>
      <w:r>
        <w:t xml:space="preserve"> </w:t>
      </w:r>
      <w:r>
        <w:t xml:space="preserve">or an adviser.</w:t>
      </w:r>
    </w:p>
    <w:p>
      <w:pPr>
        <w:pStyle w:val="FirstParagraph"/>
      </w:pPr>
      <w:r>
        <w:rPr>
          <w:b/>
          <w:bCs/>
        </w:rPr>
        <w:t xml:space="preserve">4.4. Invoices</w:t>
      </w:r>
      <w:r>
        <w:t xml:space="preserve">: the Party issuing invoices externally shall issue lawful electronic</w:t>
      </w:r>
      <w:r>
        <w:t xml:space="preserve"> </w:t>
      </w:r>
      <w:r>
        <w:t xml:space="preserve">invoices under the applicable rules on invoices and vouchers.</w:t>
      </w:r>
    </w:p>
    <w:p>
      <w:pPr>
        <w:pStyle w:val="BodyText"/>
      </w:pPr>
      <w:r>
        <w:rPr>
          <w:b/>
          <w:bCs/>
        </w:rPr>
        <w:t xml:space="preserve">4.5. Right of inspection</w:t>
      </w:r>
      <w:r>
        <w:t xml:space="preserve">: either Party may inspect the books, vouchers and business</w:t>
      </w:r>
      <w:r>
        <w:t xml:space="preserve"> </w:t>
      </w:r>
      <w:r>
        <w:t xml:space="preserve">records relating to the cooperation on </w:t>
      </w:r>
      <w:r>
        <w:rPr>
          <w:rFonts w:hint="eastAsia"/>
        </w:rPr>
        <w:t xml:space="preserve">＿＿＿</w:t>
      </w:r>
      <w:r>
        <w:t xml:space="preserve"> working days’ notice.</w:t>
      </w:r>
    </w:p>
    <w:bookmarkEnd w:id="15"/>
    <w:bookmarkStart w:id="16" w:name="article-5.-management-board"/>
    <w:p>
      <w:pPr>
        <w:pStyle w:val="Heading3"/>
      </w:pPr>
      <w:r>
        <w:t xml:space="preserve">Article 5. Management Board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The Parties establish a management board of </w:t>
      </w:r>
      <w:r>
        <w:rPr>
          <w:rFonts w:hint="eastAsia"/>
        </w:rPr>
        <w:t xml:space="preserve">＿＿＿</w:t>
      </w:r>
      <w:r>
        <w:t xml:space="preserve"> members:</w:t>
      </w:r>
      <w:r>
        <w:t xml:space="preserve"> </w:t>
      </w:r>
      <w:r>
        <w:t xml:space="preserve">Party A appoints </w:t>
      </w:r>
      <w:r>
        <w:rPr>
          <w:rFonts w:hint="eastAsia"/>
        </w:rPr>
        <w:t xml:space="preserve">＿＿＿,</w:t>
      </w:r>
      <w:r>
        <w:t xml:space="preserve"> Party B appoints </w:t>
      </w:r>
      <w:r>
        <w:rPr>
          <w:rFonts w:hint="eastAsia"/>
        </w:rPr>
        <w:t xml:space="preserve">＿＿＿.</w:t>
      </w:r>
    </w:p>
    <w:p>
      <w:pPr>
        <w:pStyle w:val="BodyText"/>
      </w:pPr>
      <w:r>
        <w:rPr>
          <w:b/>
          <w:bCs/>
        </w:rPr>
        <w:t xml:space="preserve">5.2. Voting</w:t>
      </w:r>
      <w:r>
        <w:t xml:space="preserve">: ordinary matters are passed with the assent of </w:t>
      </w:r>
      <w:r>
        <w:rPr>
          <w:rFonts w:hint="eastAsia"/>
        </w:rPr>
        <w:t xml:space="preserve">＿＿＿</w:t>
      </w:r>
      <w:r>
        <w:t xml:space="preserve"> or more members.</w:t>
      </w:r>
    </w:p>
    <w:p>
      <w:pPr>
        <w:pStyle w:val="BodyText"/>
      </w:pPr>
      <w:r>
        <w:rPr>
          <w:b/>
          <w:bCs/>
        </w:rPr>
        <w:t xml:space="preserve">5.3. Reserved matters</w:t>
      </w:r>
      <w:r>
        <w:t xml:space="preserve"> </w:t>
      </w:r>
      <w:r>
        <w:t xml:space="preserve">(passed only with the assent of</w:t>
      </w:r>
      <w:r>
        <w:t xml:space="preserve"> </w:t>
      </w:r>
      <w:r>
        <w:rPr>
          <w:b/>
          <w:bCs/>
        </w:rPr>
        <w:t xml:space="preserve">the representatives of both</w:t>
      </w:r>
      <w:r>
        <w:rPr>
          <w:b/>
          <w:bCs/>
        </w:rPr>
        <w:t xml:space="preserve"> </w:t>
      </w:r>
      <w:r>
        <w:rPr>
          <w:b/>
          <w:bCs/>
        </w:rPr>
        <w:t xml:space="preserve">Parties</w:t>
      </w:r>
      <w:r>
        <w:t xml:space="preserve">):</w:t>
      </w:r>
    </w:p>
    <w:p>
      <w:pPr>
        <w:pStyle w:val="Compact"/>
        <w:numPr>
          <w:ilvl w:val="0"/>
          <w:numId w:val="1002"/>
        </w:numPr>
      </w:pPr>
      <w:r>
        <w:t xml:space="preserve">changing the objectives or business scope;</w:t>
      </w:r>
    </w:p>
    <w:p>
      <w:pPr>
        <w:pStyle w:val="Compact"/>
        <w:numPr>
          <w:ilvl w:val="0"/>
          <w:numId w:val="1002"/>
        </w:numPr>
      </w:pPr>
      <w:r>
        <w:t xml:space="preserve">changing the contributions or their agreed value;</w:t>
      </w:r>
    </w:p>
    <w:p>
      <w:pPr>
        <w:pStyle w:val="Compact"/>
        <w:numPr>
          <w:ilvl w:val="0"/>
          <w:numId w:val="1002"/>
        </w:numPr>
      </w:pPr>
      <w:r>
        <w:t xml:space="preserve">changing the profit- or loss-sharing ratios;</w:t>
      </w:r>
    </w:p>
    <w:p>
      <w:pPr>
        <w:pStyle w:val="Compact"/>
        <w:numPr>
          <w:ilvl w:val="0"/>
          <w:numId w:val="1002"/>
        </w:numPr>
      </w:pPr>
      <w:r>
        <w:t xml:space="preserve">any single expenditure or external guarantee exceeding VND </w:t>
      </w:r>
      <w:r>
        <w:rPr>
          <w:rFonts w:hint="eastAsia"/>
        </w:rPr>
        <w:t xml:space="preserve">＿＿＿＿＿＿;</w:t>
      </w:r>
    </w:p>
    <w:p>
      <w:pPr>
        <w:pStyle w:val="Compact"/>
        <w:numPr>
          <w:ilvl w:val="0"/>
          <w:numId w:val="1002"/>
        </w:numPr>
      </w:pPr>
      <w:r>
        <w:t xml:space="preserve">early termination of the Contract or disposal of principal operating assets.</w:t>
      </w:r>
    </w:p>
    <w:p>
      <w:pPr>
        <w:pStyle w:val="BlockText"/>
      </w:pPr>
      <w:r>
        <w:rPr>
          <w:b/>
          <w:bCs/>
        </w:rPr>
        <w:t xml:space="preserve">Why reserved matters are separated out</w:t>
      </w:r>
      <w:r>
        <w:t xml:space="preserve">: the original template provided for a board of</w:t>
      </w:r>
      <w:r>
        <w:t xml:space="preserve"> </w:t>
      </w:r>
      <w:r>
        <w:t xml:space="preserve">three (one from Party A, two from Party B) with resolutions passed by two —</w:t>
      </w:r>
      <w:r>
        <w:t xml:space="preserve"> </w:t>
      </w:r>
      <w:r>
        <w:rPr>
          <w:b/>
          <w:bCs/>
        </w:rPr>
        <w:t xml:space="preserve">so Party B alone could pass every resolution and Party A had no veto whatsoever</w:t>
      </w:r>
      <w:r>
        <w:t xml:space="preserve">.</w:t>
      </w:r>
      <w:r>
        <w:t xml:space="preserve"> </w:t>
      </w:r>
      <w:r>
        <w:t xml:space="preserve">That is a severe exposure for whichever Party contributes more. This template separates</w:t>
      </w:r>
      <w:r>
        <w:t xml:space="preserve"> </w:t>
      </w:r>
      <w:r>
        <w:t xml:space="preserve">ordinary from reserved matters; the thresholds are for the Parties to complete.</w:t>
      </w:r>
    </w:p>
    <w:p>
      <w:pPr>
        <w:pStyle w:val="FirstParagraph"/>
      </w:pPr>
      <w:r>
        <w:rPr>
          <w:b/>
          <w:bCs/>
        </w:rPr>
        <w:t xml:space="preserve">5.4.</w:t>
      </w:r>
      <w:r>
        <w:t xml:space="preserve"> </w:t>
      </w:r>
      <w:r>
        <w:t xml:space="preserve">Party A’s representative: </w:t>
      </w:r>
      <w:r>
        <w:rPr>
          <w:rFonts w:hint="eastAsia"/>
        </w:rPr>
        <w:t xml:space="preserve">＿＿＿＿＿＿</w:t>
      </w:r>
      <w:r>
        <w:t xml:space="preserve"> (position: </w:t>
      </w:r>
      <w:r>
        <w:rPr>
          <w:rFonts w:hint="eastAsia"/>
        </w:rPr>
        <w:t xml:space="preserve">＿＿＿＿);</w:t>
      </w:r>
      <w:r>
        <w:t xml:space="preserve"> </w:t>
      </w:r>
      <w:r>
        <w:t xml:space="preserve">Party B’s representative: </w:t>
      </w:r>
      <w:r>
        <w:rPr>
          <w:rFonts w:hint="eastAsia"/>
        </w:rPr>
        <w:t xml:space="preserve">＿＿＿＿＿＿</w:t>
      </w:r>
      <w:r>
        <w:t xml:space="preserve"> (position: </w:t>
      </w:r>
      <w:r>
        <w:rPr>
          <w:rFonts w:hint="eastAsia"/>
        </w:rPr>
        <w:t xml:space="preserve">＿＿＿＿).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The board’s office is at: </w:t>
      </w:r>
      <w:r>
        <w:rPr>
          <w:rFonts w:hint="eastAsia"/>
        </w:rPr>
        <w:t xml:space="preserve">＿＿＿＿＿＿＿＿＿＿＿＿.</w:t>
      </w:r>
    </w:p>
    <w:bookmarkEnd w:id="16"/>
    <w:bookmarkStart w:id="17" w:name="Xc37b5efd4e0e95d003157346725fd77a919fede"/>
    <w:p>
      <w:pPr>
        <w:pStyle w:val="Heading3"/>
      </w:pPr>
      <w:r>
        <w:t xml:space="preserve">Article 6. Rights and Obligations of Party A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To make its contribution as to content, value and timing under Clause 3.1.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To be responsible for </w:t>
      </w:r>
      <w:r>
        <w:rPr>
          <w:rFonts w:hint="eastAsia"/>
        </w:rPr>
        <w:t xml:space="preserve">＿＿＿＿＿＿＿＿＿＿＿＿</w:t>
      </w:r>
      <w:r>
        <w:t xml:space="preserve"> (state specific duties: procurement,</w:t>
      </w:r>
      <w:r>
        <w:t xml:space="preserve"> </w:t>
      </w:r>
      <w:r>
        <w:t xml:space="preserve">import, market development, etc.).</w:t>
      </w:r>
    </w:p>
    <w:p>
      <w:pPr>
        <w:pStyle w:val="BodyText"/>
      </w:pPr>
      <w:r>
        <w:rPr>
          <w:b/>
          <w:bCs/>
        </w:rPr>
        <w:t xml:space="preserve">6.3.</w:t>
      </w:r>
      <w:r>
        <w:t xml:space="preserve"> </w:t>
      </w:r>
      <w:r>
        <w:t xml:space="preserve">To source, negotiate, conclude and settle the relevant purchase contracts</w:t>
      </w:r>
      <w:r>
        <w:t xml:space="preserve"> </w:t>
      </w:r>
      <w:r>
        <w:t xml:space="preserve">(where that duty rests with Party A).</w:t>
      </w:r>
    </w:p>
    <w:p>
      <w:pPr>
        <w:pStyle w:val="BodyText"/>
      </w:pPr>
      <w:r>
        <w:rPr>
          <w:b/>
          <w:bCs/>
        </w:rPr>
        <w:t xml:space="preserve">6.4.</w:t>
      </w:r>
      <w:r>
        <w:t xml:space="preserve"> </w:t>
      </w:r>
      <w:r>
        <w:t xml:space="preserve">To provide complete invoices and vouchers for financial accounting.</w:t>
      </w:r>
    </w:p>
    <w:p>
      <w:pPr>
        <w:pStyle w:val="BodyText"/>
      </w:pPr>
      <w:r>
        <w:rPr>
          <w:b/>
          <w:bCs/>
        </w:rPr>
        <w:t xml:space="preserve">6.5.</w:t>
      </w:r>
      <w:r>
        <w:t xml:space="preserve"> </w:t>
      </w:r>
      <w:r>
        <w:t xml:space="preserve">To receive after-tax profit at the ratio in Clause 3.3 and to bear losses at the</w:t>
      </w:r>
      <w:r>
        <w:t xml:space="preserve"> </w:t>
      </w:r>
      <w:r>
        <w:t xml:space="preserve">ratio in Clause 3.4.</w:t>
      </w:r>
    </w:p>
    <w:p>
      <w:pPr>
        <w:pStyle w:val="BodyText"/>
      </w:pPr>
      <w:r>
        <w:rPr>
          <w:b/>
          <w:bCs/>
        </w:rPr>
        <w:t xml:space="preserve">6.6.</w:t>
      </w:r>
      <w:r>
        <w:t xml:space="preserve"> </w:t>
      </w:r>
      <w:r>
        <w:t xml:space="preserve">To comply with the law on import and export, customs, environmental protection and</w:t>
      </w:r>
      <w:r>
        <w:t xml:space="preserve"> </w:t>
      </w:r>
      <w:r>
        <w:t xml:space="preserve">sectoral access conditions (obtaining the relevant permits where controlled goods or</w:t>
      </w:r>
      <w:r>
        <w:t xml:space="preserve"> </w:t>
      </w:r>
      <w:r>
        <w:t xml:space="preserve">activities are involved).</w:t>
      </w:r>
    </w:p>
    <w:bookmarkEnd w:id="17"/>
    <w:bookmarkStart w:id="18" w:name="Xaad01fb14f28a0d056a8fc64cc5d7335f9ed1b8"/>
    <w:p>
      <w:pPr>
        <w:pStyle w:val="Heading3"/>
      </w:pPr>
      <w:r>
        <w:t xml:space="preserve">Article 7. Rights and Obligations of Party B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To make its contribution as to content, value and timing under Clause 3.1.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To be responsible for </w:t>
      </w:r>
      <w:r>
        <w:rPr>
          <w:rFonts w:hint="eastAsia"/>
        </w:rPr>
        <w:t xml:space="preserve">＿＿＿＿＿＿＿＿＿＿＿＿</w:t>
      </w:r>
      <w:r>
        <w:t xml:space="preserve"> (state specific duties: production</w:t>
      </w:r>
      <w:r>
        <w:t xml:space="preserve"> </w:t>
      </w:r>
      <w:r>
        <w:t xml:space="preserve">management, sales, etc.).</w:t>
      </w:r>
    </w:p>
    <w:p>
      <w:pPr>
        <w:pStyle w:val="BodyText"/>
      </w:pPr>
      <w:r>
        <w:rPr>
          <w:b/>
          <w:bCs/>
        </w:rPr>
        <w:t xml:space="preserve">7.3.</w:t>
      </w:r>
      <w:r>
        <w:t xml:space="preserve"> </w:t>
      </w:r>
      <w:r>
        <w:t xml:space="preserve">To ensure product quality meets applicable legal standards and the technical</w:t>
      </w:r>
      <w:r>
        <w:t xml:space="preserve"> </w:t>
      </w:r>
      <w:r>
        <w:t xml:space="preserve">specifications agreed.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To comply strictly with environmental protection law and related regulations.</w:t>
      </w:r>
    </w:p>
    <w:p>
      <w:pPr>
        <w:pStyle w:val="BodyText"/>
      </w:pPr>
      <w:r>
        <w:rPr>
          <w:b/>
          <w:bCs/>
        </w:rPr>
        <w:t xml:space="preserve">7.5.</w:t>
      </w:r>
      <w:r>
        <w:t xml:space="preserve"> </w:t>
      </w:r>
      <w:r>
        <w:t xml:space="preserve">To account fully for receipts and payments of the business under Vietnamese</w:t>
      </w:r>
      <w:r>
        <w:t xml:space="preserve"> </w:t>
      </w:r>
      <w:r>
        <w:t xml:space="preserve">financial and accounting law.</w:t>
      </w:r>
    </w:p>
    <w:p>
      <w:pPr>
        <w:pStyle w:val="BodyText"/>
      </w:pPr>
      <w:r>
        <w:rPr>
          <w:b/>
          <w:bCs/>
        </w:rPr>
        <w:t xml:space="preserve">7.6.</w:t>
      </w:r>
      <w:r>
        <w:t xml:space="preserve"> </w:t>
      </w:r>
      <w:r>
        <w:t xml:space="preserve">To declare truthfully and pay in full the taxes and obligations to the State for</w:t>
      </w:r>
      <w:r>
        <w:t xml:space="preserve"> </w:t>
      </w:r>
      <w:r>
        <w:t xml:space="preserve">which it is responsible under Clause 4.3, and to maintain contact with the relevant</w:t>
      </w:r>
      <w:r>
        <w:t xml:space="preserve"> </w:t>
      </w:r>
      <w:r>
        <w:t xml:space="preserve">sectoral authority, local government and tax office at the project location.</w:t>
      </w:r>
    </w:p>
    <w:p>
      <w:pPr>
        <w:pStyle w:val="BodyText"/>
      </w:pPr>
      <w:r>
        <w:rPr>
          <w:b/>
          <w:bCs/>
        </w:rPr>
        <w:t xml:space="preserve">7.7.</w:t>
      </w:r>
      <w:r>
        <w:t xml:space="preserve"> </w:t>
      </w:r>
      <w:r>
        <w:t xml:space="preserve">To receive after-tax profit at the ratio in Clause 3.3 and to bear losses at the</w:t>
      </w:r>
      <w:r>
        <w:t xml:space="preserve"> </w:t>
      </w:r>
      <w:r>
        <w:t xml:space="preserve">ratio in Clause 3.4.</w:t>
      </w:r>
    </w:p>
    <w:p>
      <w:pPr>
        <w:pStyle w:val="BodyText"/>
      </w:pPr>
      <w:r>
        <w:rPr>
          <w:b/>
          <w:bCs/>
        </w:rPr>
        <w:t xml:space="preserve">7.8.</w:t>
      </w:r>
      <w:r>
        <w:t xml:space="preserve"> </w:t>
      </w:r>
      <w:r>
        <w:t xml:space="preserve">To recruit, manage and deploy project personnel and to set wage and benefit plans,</w:t>
      </w:r>
      <w:r>
        <w:t xml:space="preserve"> </w:t>
      </w:r>
      <w:r>
        <w:t xml:space="preserve">in compliance with the</w:t>
      </w:r>
      <w:r>
        <w:t xml:space="preserve"> </w:t>
      </w:r>
      <w:r>
        <w:rPr>
          <w:b/>
          <w:bCs/>
        </w:rPr>
        <w:t xml:space="preserve">Labour Code No. 45/2019/QH14</w:t>
      </w:r>
      <w:r>
        <w:t xml:space="preserve"> </w:t>
      </w:r>
      <w:r>
        <w:t xml:space="preserve">and social insurance rules.</w:t>
      </w:r>
    </w:p>
    <w:bookmarkEnd w:id="18"/>
    <w:bookmarkStart w:id="19" w:name="X61ef4a7f81e1b9e480ba1acf207d336491fc11b"/>
    <w:p>
      <w:pPr>
        <w:pStyle w:val="Heading3"/>
      </w:pPr>
      <w:r>
        <w:t xml:space="preserve">Article 8. Confidentiality and Intellectual Property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Each Party shall keep confidential the other’s commercial, technical, customer and</w:t>
      </w:r>
      <w:r>
        <w:t xml:space="preserve"> </w:t>
      </w:r>
      <w:r>
        <w:t xml:space="preserve">other non-public information learned in performing the Contract; the obligation continues</w:t>
      </w:r>
      <w:r>
        <w:t xml:space="preserve"> </w:t>
      </w:r>
      <w:r>
        <w:t xml:space="preserve">for </w:t>
      </w:r>
      <w:r>
        <w:rPr>
          <w:rFonts w:hint="eastAsia"/>
        </w:rPr>
        <w:t xml:space="preserve">＿＿＿</w:t>
      </w:r>
      <w:r>
        <w:t xml:space="preserve"> years after termination.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Intellectual property created during the cooperation belongs to:</w:t>
      </w:r>
      <w:r>
        <w:t xml:space="preserve"> </w:t>
      </w:r>
      <w:r>
        <w:rPr>
          <w:rFonts w:hint="eastAsia"/>
        </w:rPr>
        <w:t xml:space="preserve">＿＿＿＿＿＿＿＿＿＿＿＿</w:t>
      </w:r>
      <w:r>
        <w:t xml:space="preserve"> (to be specified). Pre-existing intellectual property contributed</w:t>
      </w:r>
      <w:r>
        <w:t xml:space="preserve"> </w:t>
      </w:r>
      <w:r>
        <w:t xml:space="preserve">by a Party does not pass by reason of this cooperation.</w:t>
      </w:r>
    </w:p>
    <w:bookmarkEnd w:id="19"/>
    <w:bookmarkStart w:id="20" w:name="X4c3bb5962d9538610b286556fe40cec24642568"/>
    <w:p>
      <w:pPr>
        <w:pStyle w:val="Heading3"/>
      </w:pPr>
      <w:r>
        <w:t xml:space="preserve">Article 9. Liability for Breach and Penalty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A Party in breach causing loss to the other (force majeure excepted) shall</w:t>
      </w:r>
      <w:r>
        <w:t xml:space="preserve"> </w:t>
      </w:r>
      <w:r>
        <w:t xml:space="preserve">compensate the whole of the loss arising.</w:t>
      </w:r>
    </w:p>
    <w:p>
      <w:pPr>
        <w:pStyle w:val="BodyText"/>
      </w:pPr>
      <w:r>
        <w:rPr>
          <w:b/>
          <w:bCs/>
        </w:rPr>
        <w:t xml:space="preserve">9.2. Penalty</w:t>
      </w:r>
      <w:r>
        <w:t xml:space="preserve">: the Party in breach shall pay the other </w:t>
      </w:r>
      <w:r>
        <w:rPr>
          <w:rFonts w:hint="eastAsia"/>
        </w:rPr>
        <w:t xml:space="preserve">＿＿＿</w:t>
      </w:r>
      <w:r>
        <w:t xml:space="preserve"> % of the value of</w:t>
      </w:r>
      <w:r>
        <w:t xml:space="preserve"> </w:t>
      </w:r>
      <w:r>
        <w:rPr>
          <w:b/>
          <w:bCs/>
        </w:rPr>
        <w:t xml:space="preserve">the contractual obligation breached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Article 301 of the Commercial Law No. 36/2005/QH11</w:t>
      </w:r>
      <w:r>
        <w:t xml:space="preserve">: the penalty is as agreed,</w:t>
      </w:r>
      <w:r>
        <w:t xml:space="preserve"> </w:t>
      </w:r>
      <w:r>
        <w:rPr>
          <w:b/>
          <w:bCs/>
        </w:rPr>
        <w:t xml:space="preserve">but shall not exceed 8% of the value of the contractual obligation breached</w:t>
      </w:r>
      <w:r>
        <w:t xml:space="preserve"> </w:t>
      </w:r>
      <w:r>
        <w:t xml:space="preserve">(save in the case under Article 266 of that Law).</w:t>
      </w:r>
    </w:p>
    <w:p>
      <w:pPr>
        <w:pStyle w:val="BlockText"/>
      </w:pPr>
      <w:r>
        <w:rPr>
          <w:b/>
          <w:bCs/>
        </w:rPr>
        <w:t xml:space="preserve">The original template contained two errors here, both corrected</w:t>
      </w:r>
      <w:r>
        <w:t xml:space="preserve">:</w:t>
      </w:r>
      <w:r>
        <w:t xml:space="preserve"> </w:t>
      </w:r>
      <w:r>
        <w:t xml:space="preserve">(i) it set a penalty of</w:t>
      </w:r>
      <w:r>
        <w:t xml:space="preserve"> </w:t>
      </w:r>
      <w:r>
        <w:rPr>
          <w:b/>
          <w:bCs/>
        </w:rPr>
        <w:t xml:space="preserve">10% of the total contract value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10% exceeds the statutory</w:t>
      </w:r>
      <w:r>
        <w:rPr>
          <w:b/>
          <w:bCs/>
        </w:rPr>
        <w:t xml:space="preserve"> </w:t>
      </w:r>
      <w:r>
        <w:rPr>
          <w:b/>
          <w:bCs/>
        </w:rPr>
        <w:t xml:space="preserve">8% cap</w:t>
      </w:r>
      <w:r>
        <w:t xml:space="preserve">, and the excess is of no effect;</w:t>
      </w:r>
      <w:r>
        <w:t xml:space="preserve"> </w:t>
      </w:r>
      <w:r>
        <w:t xml:space="preserve">(ii) it used</w:t>
      </w:r>
      <w:r>
        <w:t xml:space="preserve"> </w:t>
      </w:r>
      <w:r>
        <w:t xml:space="preserve">“total contract value”</w:t>
      </w:r>
      <w:r>
        <w:t xml:space="preserve"> </w:t>
      </w:r>
      <w:r>
        <w:t xml:space="preserve">as the base, whereas the statutory base is</w:t>
      </w:r>
      <w:r>
        <w:t xml:space="preserve"> </w:t>
      </w:r>
      <w:r>
        <w:rPr>
          <w:b/>
          <w:bCs/>
        </w:rPr>
        <w:t xml:space="preserve">the value of the obligation breached</w:t>
      </w:r>
      <w:r>
        <w:t xml:space="preserve">.</w:t>
      </w:r>
    </w:p>
    <w:p>
      <w:pPr>
        <w:pStyle w:val="BlockText"/>
      </w:pPr>
      <w:r>
        <w:t xml:space="preserve">Arbitral tribunals apply the 8% cap in practice. Penalty and damages are distinct</w:t>
      </w:r>
      <w:r>
        <w:t xml:space="preserve"> </w:t>
      </w:r>
      <w:r>
        <w:t xml:space="preserve">remedies; the cap constrains only the former.</w:t>
      </w:r>
    </w:p>
    <w:p>
      <w:pPr>
        <w:pStyle w:val="FirstParagraph"/>
      </w:pPr>
      <w:r>
        <w:rPr>
          <w:b/>
          <w:bCs/>
        </w:rPr>
        <w:t xml:space="preserve">9.3.</w:t>
      </w:r>
      <w:r>
        <w:t xml:space="preserve"> </w:t>
      </w:r>
      <w:r>
        <w:t xml:space="preserve">A Party encountering difficulty or obstruction in performance shall notify the</w:t>
      </w:r>
      <w:r>
        <w:t xml:space="preserve"> </w:t>
      </w:r>
      <w:r>
        <w:t xml:space="preserve">other within </w:t>
      </w:r>
      <w:r>
        <w:rPr>
          <w:rFonts w:hint="eastAsia"/>
        </w:rPr>
        <w:t xml:space="preserve">＿＿＿</w:t>
      </w:r>
      <w:r>
        <w:t xml:space="preserve"> days of its occurrence.</w:t>
      </w:r>
    </w:p>
    <w:p>
      <w:pPr>
        <w:pStyle w:val="BodyText"/>
      </w:pPr>
      <w:r>
        <w:rPr>
          <w:b/>
          <w:bCs/>
        </w:rPr>
        <w:t xml:space="preserve">9.4. Force majeure</w:t>
      </w:r>
      <w:r>
        <w:t xml:space="preserve">: where force majeure prevents performance, neither Party is liable</w:t>
      </w:r>
      <w:r>
        <w:t xml:space="preserve"> </w:t>
      </w:r>
      <w:r>
        <w:t xml:space="preserve">for breach, but each must notify the other promptly with evidence; if it continues beyond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days, either Party may propose termination.</w:t>
      </w:r>
    </w:p>
    <w:bookmarkEnd w:id="20"/>
    <w:bookmarkStart w:id="21" w:name="Xa9b309977368fbc04a11826dfcc031332cefd8b"/>
    <w:p>
      <w:pPr>
        <w:pStyle w:val="Heading3"/>
      </w:pPr>
      <w:r>
        <w:t xml:space="preserve">Article 10. Amendment, Transfer and Termination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Any amendment or supplement must be in writing and signed by both Parties;</w:t>
      </w:r>
      <w:r>
        <w:t xml:space="preserve"> </w:t>
      </w:r>
      <w:r>
        <w:t xml:space="preserve">appendices form an integral part of the Contract.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Neither Party may transfer its rights or obligations without the other’s written</w:t>
      </w:r>
      <w:r>
        <w:t xml:space="preserve"> </w:t>
      </w:r>
      <w:r>
        <w:t xml:space="preserve">consent. Where a foreign investor is involved, a transfer also requires amendment of the</w:t>
      </w:r>
      <w:r>
        <w:t xml:space="preserve"> </w:t>
      </w:r>
      <w:r>
        <w:t xml:space="preserve">Investment Registration Certificate.</w:t>
      </w:r>
    </w:p>
    <w:p>
      <w:pPr>
        <w:pStyle w:val="BodyText"/>
      </w:pPr>
      <w:r>
        <w:rPr>
          <w:b/>
          <w:bCs/>
        </w:rPr>
        <w:t xml:space="preserve">10.3.</w:t>
      </w:r>
      <w:r>
        <w:t xml:space="preserve"> </w:t>
      </w:r>
      <w:r>
        <w:t xml:space="preserve">The Contract terminates on expiry of the term in Article 2, or in other</w:t>
      </w:r>
      <w:r>
        <w:t xml:space="preserve"> </w:t>
      </w:r>
      <w:r>
        <w:t xml:space="preserve">circumstances provided by law or agreed by the Parties.</w:t>
      </w:r>
    </w:p>
    <w:p>
      <w:pPr>
        <w:pStyle w:val="BodyText"/>
      </w:pPr>
      <w:r>
        <w:rPr>
          <w:b/>
          <w:bCs/>
        </w:rPr>
        <w:t xml:space="preserve">10.4. Liquidation</w:t>
      </w:r>
      <w:r>
        <w:t xml:space="preserve">: on termination the Parties shall sign a liquidation record dealing</w:t>
      </w:r>
      <w:r>
        <w:t xml:space="preserve"> </w:t>
      </w:r>
      <w:r>
        <w:t xml:space="preserve">with assets, receivables and payables, undistributed profit and unabsorbed losses;</w:t>
      </w:r>
      <w:r>
        <w:t xml:space="preserve"> </w:t>
      </w:r>
      <w:r>
        <w:t xml:space="preserve">premises, warehouses, machinery and production lines contributed as rights of use are</w:t>
      </w:r>
      <w:r>
        <w:t xml:space="preserve"> </w:t>
      </w:r>
      <w:r>
        <w:t xml:space="preserve">returned to their owner.</w:t>
      </w:r>
    </w:p>
    <w:p>
      <w:pPr>
        <w:pStyle w:val="BodyText"/>
      </w:pPr>
      <w:r>
        <w:rPr>
          <w:b/>
          <w:bCs/>
        </w:rPr>
        <w:t xml:space="preserve">10.5.</w:t>
      </w:r>
      <w:r>
        <w:t xml:space="preserve"> </w:t>
      </w:r>
      <w:r>
        <w:t xml:space="preserve">Where a foreign investor is involved, termination procedures for the investment</w:t>
      </w:r>
      <w:r>
        <w:t xml:space="preserve"> </w:t>
      </w:r>
      <w:r>
        <w:t xml:space="preserve">project must be completed as required by law.</w:t>
      </w:r>
    </w:p>
    <w:bookmarkEnd w:id="21"/>
    <w:bookmarkStart w:id="22" w:name="Xd7f604f42b5dc64080bc0c1efe72487379e03e8"/>
    <w:p>
      <w:pPr>
        <w:pStyle w:val="Heading3"/>
      </w:pPr>
      <w:r>
        <w:t xml:space="preserve">Article 11. Dispute Resolution and Governing Law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The interpretation and application of this Contract are governed by the law of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Socialist Republic of Vietnam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Disputes arising in performance shall first be resolved by negotiation and conciliation.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Failing conciliation, disputes shall be referred to the</w:t>
      </w:r>
      <w:r>
        <w:t xml:space="preserve"> </w:t>
      </w:r>
      <w:r>
        <w:rPr>
          <w:b/>
          <w:bCs/>
        </w:rPr>
        <w:t xml:space="preserve">competent court of</w:t>
      </w:r>
      <w:r>
        <w:rPr>
          <w:b/>
          <w:bCs/>
        </w:rPr>
        <w:t xml:space="preserve"> </w:t>
      </w:r>
      <w:r>
        <w:rPr>
          <w:b/>
          <w:bCs/>
        </w:rPr>
        <w:t xml:space="preserve">Vietnam</w:t>
      </w:r>
      <w:r>
        <w:t xml:space="preserve">; the Parties may alternatively agree in writing to refer them to a commercial</w:t>
      </w:r>
      <w:r>
        <w:t xml:space="preserve"> </w:t>
      </w:r>
      <w:r>
        <w:t xml:space="preserve">arbitration centre in Vietnam.</w:t>
      </w:r>
    </w:p>
    <w:bookmarkEnd w:id="22"/>
    <w:bookmarkStart w:id="23" w:name="article-12.-effect"/>
    <w:p>
      <w:pPr>
        <w:pStyle w:val="Heading3"/>
      </w:pPr>
      <w:r>
        <w:t xml:space="preserve">Article 12. Effect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This Contract comprises </w:t>
      </w:r>
      <w:r>
        <w:rPr>
          <w:rFonts w:hint="eastAsia"/>
        </w:rPr>
        <w:t xml:space="preserve">＿＿＿</w:t>
      </w:r>
      <w:r>
        <w:t xml:space="preserve"> pages and is indivisible.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It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both of equal legal validity; in the</w:t>
      </w:r>
      <w:r>
        <w:t xml:space="preserve"> </w:t>
      </w:r>
      <w:r>
        <w:t xml:space="preserve">event of discrepancy,</w:t>
      </w:r>
      <w:r>
        <w:t xml:space="preserve"> </w:t>
      </w:r>
      <w:r>
        <w:rPr>
          <w:b/>
          <w:bCs/>
        </w:rPr>
        <w:t xml:space="preserve">the Vietnamese version prevails within the territory of Vietnam</w:t>
      </w:r>
      <w:r>
        <w:t xml:space="preserve">.</w:t>
      </w:r>
    </w:p>
    <w:p>
      <w:pPr>
        <w:pStyle w:val="BlockText"/>
      </w:pPr>
      <w:r>
        <w:t xml:space="preserve">Clause 9.2 of the original template said the contract was</w:t>
      </w:r>
      <w:r>
        <w:t xml:space="preserve"> </w:t>
      </w:r>
      <w:r>
        <w:t xml:space="preserve">“written in Vietnamese”</w:t>
      </w:r>
      <w:r>
        <w:t xml:space="preserve">, with no</w:t>
      </w:r>
      <w:r>
        <w:t xml:space="preserve"> </w:t>
      </w:r>
      <w:r>
        <w:t xml:space="preserve">bilingual clause. A contract intended for signature by non-Vietnamese-speaking parties</w:t>
      </w:r>
      <w:r>
        <w:t xml:space="preserve"> </w:t>
      </w:r>
      <w:r>
        <w:t xml:space="preserve">should state the validity and order of precedence of the two texts.</w:t>
      </w:r>
    </w:p>
    <w:p>
      <w:pPr>
        <w:pStyle w:val="FirstParagraph"/>
      </w:pPr>
      <w:r>
        <w:rPr>
          <w:b/>
          <w:bCs/>
        </w:rPr>
        <w:t xml:space="preserve">12.3.</w:t>
      </w:r>
      <w:r>
        <w:t xml:space="preserve"> </w:t>
      </w:r>
      <w:r>
        <w:t xml:space="preserve">It is made in </w:t>
      </w:r>
      <w:r>
        <w:rPr>
          <w:rFonts w:hint="eastAsia"/>
        </w:rPr>
        <w:t xml:space="preserve">＿＿＿</w:t>
      </w:r>
      <w:r>
        <w:t xml:space="preserve"> originals, </w:t>
      </w:r>
      <w:r>
        <w:rPr>
          <w:rFonts w:hint="eastAsia"/>
        </w:rPr>
        <w:t xml:space="preserve">＿＿＿</w:t>
      </w:r>
      <w:r>
        <w:t xml:space="preserve"> held by each Party, of equal legal validity.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It takes effect from the date of signing; where one or both Parties are foreign</w:t>
      </w:r>
      <w:r>
        <w:t xml:space="preserve"> </w:t>
      </w:r>
      <w:r>
        <w:t xml:space="preserve">investors,</w:t>
      </w:r>
      <w:r>
        <w:t xml:space="preserve"> </w:t>
      </w:r>
      <w:r>
        <w:rPr>
          <w:b/>
          <w:bCs/>
        </w:rPr>
        <w:t xml:space="preserve">business operations may begin only once the Investment Registration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Certificate has been obtained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 PARTY A</w:t>
            </w:r>
          </w:p>
        </w:tc>
        <w:tc>
          <w:tcPr/>
          <w:p>
            <w:pPr>
              <w:pStyle w:val="Compact"/>
            </w:pPr>
            <w:r>
              <w:t xml:space="preserve">FOR PARTY B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(Sign, state name and affix seal)</w:t>
            </w:r>
          </w:p>
        </w:tc>
        <w:tc>
          <w:tcPr/>
          <w:p>
            <w:pPr>
              <w:pStyle w:val="Compact"/>
            </w:pPr>
            <w:r>
              <w:t xml:space="preserve">(Sign, state name and affix seal)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note, Clause 12.4 – 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27, Investment Law No. 61/2020/QH14</w:t>
            </w:r>
          </w:p>
        </w:tc>
        <w:tc>
          <w:tcPr/>
          <w:p>
            <w:pPr>
              <w:pStyle w:val="Compact"/>
            </w:pPr>
            <w:r>
              <w:t xml:space="preserve">BCC between domestic investors needs no IRC; with a foreign investor it is</w:t>
            </w:r>
            <w:r>
              <w:t xml:space="preserve"> </w:t>
            </w:r>
            <w:r>
              <w:rPr>
                <w:b/>
                <w:bCs/>
              </w:rPr>
              <w:t xml:space="preserve">mandatory</w:t>
            </w:r>
            <w:r>
              <w:t xml:space="preserve"> </w:t>
            </w:r>
            <w:r>
              <w:t xml:space="preserve">under Article 38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1 – structure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28.1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t xml:space="preserve">Mandatory contents of a BCC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 issuing period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38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days</w:t>
            </w:r>
            <w:r>
              <w:t xml:space="preserve"> </w:t>
            </w:r>
            <w:r>
              <w:t xml:space="preserve">from receipt of a valid application for projects not requiring in-principle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details – issuing authority</w:t>
            </w:r>
          </w:p>
        </w:tc>
        <w:tc>
          <w:tcPr/>
          <w:p>
            <w:pPr>
              <w:pStyle w:val="Compact"/>
            </w:pPr>
            <w:r>
              <w:t xml:space="preserve">2025 administrative reform</w:t>
            </w:r>
          </w:p>
        </w:tc>
        <w:tc>
          <w:tcPr/>
          <w:p>
            <w:pPr>
              <w:pStyle w:val="Compact"/>
            </w:pPr>
            <w:r>
              <w:t xml:space="preserve">Department of Planning and Investment merged into the</w:t>
            </w:r>
            <w:r>
              <w:t xml:space="preserve"> </w:t>
            </w:r>
            <w:r>
              <w:rPr>
                <w:b/>
                <w:bCs/>
              </w:rPr>
              <w:t xml:space="preserve">Department of Finance</w:t>
            </w:r>
            <w:r>
              <w:t xml:space="preserve">; registration handled by its</w:t>
            </w:r>
            <w:r>
              <w:t xml:space="preserve"> </w:t>
            </w:r>
            <w:r>
              <w:rPr>
                <w:b/>
                <w:bCs/>
              </w:rPr>
              <w:t xml:space="preserve">Business Registration and Corporate Finance Division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9.2 – penalty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301, Commercial Law No. 36/2005/QH11</w:t>
            </w:r>
          </w:p>
        </w:tc>
        <w:tc>
          <w:tcPr/>
          <w:p>
            <w:pPr>
              <w:pStyle w:val="Compact"/>
            </w:pPr>
            <w:r>
              <w:t xml:space="preserve">Not exceeding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of the value of the obligation breached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7.8 – labour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Labour Code No. 45/2019/QH14</w:t>
            </w:r>
          </w:p>
        </w:tc>
        <w:tc>
          <w:tcPr/>
          <w:p>
            <w:pPr>
              <w:pStyle w:val="Compact"/>
            </w:pPr>
            <w:r>
              <w:t xml:space="preserve">Recruitment, wages and social insurance as required by law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26"/>
    <w:bookmarkStart w:id="27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The tax treatment</w:t>
      </w:r>
      <w:r>
        <w:t xml:space="preserve"> </w:t>
      </w:r>
      <w:r>
        <w:t xml:space="preserve">and regulatory requirements of a BCC depend heavily on the sector and the contribution</w:t>
      </w:r>
      <w:r>
        <w:t xml:space="preserve"> </w:t>
      </w:r>
      <w:r>
        <w:t xml:space="preserve">structure; have a Vietnamese-qualified lawyer and a tax adviser review it before signing.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If either Party is a foreign investor: IRC first, operations second.</w:t>
      </w:r>
      <w:r>
        <w:t xml:space="preserve"> </w:t>
      </w:r>
      <w:r>
        <w:t xml:space="preserve">This is the single most important addition relative to the source.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The Vietnamese version prevails</w:t>
      </w:r>
      <w:r>
        <w:t xml:space="preserve"> </w:t>
      </w:r>
      <w:r>
        <w:t xml:space="preserve">within the territory of Vietnam.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The source template was a contract for one specific transaction, not a general form.</w:t>
      </w:r>
      <w:r>
        <w:t xml:space="preserve"> </w:t>
      </w:r>
      <w:r>
        <w:t xml:space="preserve">Its Articles 3, 6 and 7 were written around a particular business — importing scrap for</w:t>
      </w:r>
      <w:r>
        <w:t xml:space="preserve"> </w:t>
      </w:r>
      <w:r>
        <w:t xml:space="preserve">reprocessing into steel billets — and scrap import is tightly regulated under Vietnamese</w:t>
      </w:r>
      <w:r>
        <w:t xml:space="preserve"> </w:t>
      </w:r>
      <w:r>
        <w:t xml:space="preserve">environmental law. This template has been</w:t>
      </w:r>
      <w:r>
        <w:t xml:space="preserve"> </w:t>
      </w:r>
      <w:r>
        <w:rPr>
          <w:b/>
          <w:bCs/>
        </w:rPr>
        <w:t xml:space="preserve">rewritten as a sector-neutral structure</w:t>
      </w:r>
      <w:r>
        <w:t xml:space="preserve">;</w:t>
      </w:r>
      <w:r>
        <w:t xml:space="preserve"> </w:t>
      </w:r>
      <w:r>
        <w:t xml:space="preserve">the business content is for the Parties to complete, and the relevant permits must be</w:t>
      </w:r>
      <w:r>
        <w:t xml:space="preserve"> </w:t>
      </w:r>
      <w:r>
        <w:t xml:space="preserve">obtained where controlled goods or activities are involved.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Establish four things before signing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t xml:space="preserve">whether each Party is a domestic or foreign investor (this decides the IRC question);</w:t>
      </w:r>
    </w:p>
    <w:p>
      <w:pPr>
        <w:pStyle w:val="Compact"/>
        <w:numPr>
          <w:ilvl w:val="1"/>
          <w:numId w:val="1004"/>
        </w:numPr>
      </w:pPr>
      <w:r>
        <w:t xml:space="preserve">whether the business scope falls within a sector restricted for foreign investors;</w:t>
      </w:r>
    </w:p>
    <w:p>
      <w:pPr>
        <w:pStyle w:val="Compact"/>
        <w:numPr>
          <w:ilvl w:val="1"/>
          <w:numId w:val="1004"/>
        </w:numPr>
      </w:pPr>
      <w:r>
        <w:t xml:space="preserve">the valuation method for contributions and who declares tax;</w:t>
      </w:r>
    </w:p>
    <w:p>
      <w:pPr>
        <w:pStyle w:val="Compact"/>
        <w:numPr>
          <w:ilvl w:val="1"/>
          <w:numId w:val="1004"/>
        </w:numPr>
      </w:pPr>
      <w:r>
        <w:t xml:space="preserve">whether the agreed penalty falls within the 8% cap.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Legal provisions are time-sensitive.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This template contains no information relating to any particular company.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Business Cooperation Contract (BCC) Template (2026 Edition)</dc:title>
  <dc:creator/>
  <dc:language>en</dc:language>
  <cp:keywords/>
  <dcterms:created xsi:type="dcterms:W3CDTF">2026-10-31T05:14:32Z</dcterms:created>
  <dcterms:modified xsi:type="dcterms:W3CDTF">2026-10-31T05:14:32Z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