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Setting Up a Company in Vietnam — The Full Procedure (2026 Edition)</w:t>
      </w:r>
    </w:p>
    <w:bookmarkStart w:id="19" w:name="X281b2a4e4c778e59639f0184ca32b010e74fa76"/>
    <w:p>
      <w:pPr>
        <w:pStyle w:val="Heading1"/>
      </w:pPr>
      <w:r>
        <w:t xml:space="preserve">SETTING UP A COMPANY IN VIETNAM — THE FULL PROCEDURE</w:t>
      </w:r>
    </w:p>
    <w:p>
      <w:pPr>
        <w:pStyle w:val="FirstParagraph"/>
      </w:pPr>
      <w:r>
        <w:rPr>
          <w:b/>
          <w:bCs/>
        </w:rPr>
        <w:t xml:space="preserve">2026 Edition</w:t>
      </w:r>
    </w:p>
    <w:p>
      <w:pPr>
        <w:pStyle w:val="BodyText"/>
      </w:pPr>
      <w:r>
        <w:rPr>
          <w:b/>
          <w:bCs/>
        </w:rPr>
        <w:t xml:space="preserve">Legal verification date: 18 September 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Establish first which route you are on — it determines both the timeline and the paperwork.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Domestic investor</w:t>
            </w:r>
          </w:p>
        </w:tc>
        <w:tc>
          <w:tcPr/>
          <w:p>
            <w:pPr>
              <w:pStyle w:val="Compact"/>
            </w:pPr>
            <w:r>
              <w:t xml:space="preserve">Foreign investor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Certificates required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ERC</w:t>
            </w:r>
            <w:r>
              <w:t xml:space="preserve"> </w:t>
            </w:r>
            <w:r>
              <w:t xml:space="preserve">only (Enterprise Registration Certificate)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IRC first → then ERC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Statutory period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working days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days</w:t>
            </w:r>
            <w:r>
              <w:t xml:space="preserve"> </w:t>
            </w:r>
            <w:r>
              <w:t xml:space="preserve">(IRC)</w:t>
            </w:r>
            <w:r>
              <w:t xml:space="preserve"> </w:t>
            </w:r>
            <w:r>
              <w:rPr>
                <w:b/>
                <w:bCs/>
              </w:rPr>
              <w:t xml:space="preserve">+ 3 working days</w:t>
            </w:r>
            <w:r>
              <w:t xml:space="preserve"> </w:t>
            </w:r>
            <w:r>
              <w:t xml:space="preserve">(ERC)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Indicative real-world timing</w:t>
            </w:r>
          </w:p>
        </w:tc>
        <w:tc>
          <w:tcPr/>
          <w:p>
            <w:pPr>
              <w:pStyle w:val="Compact"/>
            </w:pPr>
            <w:r>
              <w:t xml:space="preserve">About 5–7 working days</w:t>
            </w:r>
          </w:p>
        </w:tc>
        <w:tc>
          <w:tcPr/>
          <w:p>
            <w:pPr>
              <w:pStyle w:val="Compact"/>
            </w:pPr>
            <w:r>
              <w:t xml:space="preserve">About 30–45 working days, including consular legalisation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Capital account</w:t>
            </w:r>
          </w:p>
        </w:tc>
        <w:tc>
          <w:tcPr/>
          <w:p>
            <w:pPr>
              <w:pStyle w:val="Compact"/>
            </w:pPr>
            <w:r>
              <w:t xml:space="preserve">No special requirement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Mandatory</w:t>
            </w:r>
            <w:r>
              <w:t xml:space="preserve"> </w:t>
            </w:r>
            <w:r>
              <w:t xml:space="preserve">Direct Investment Capital Account (DICA)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Documents</w:t>
            </w:r>
          </w:p>
        </w:tc>
        <w:tc>
          <w:tcPr/>
          <w:p>
            <w:pPr>
              <w:pStyle w:val="Compact"/>
            </w:pPr>
            <w:r>
              <w:t xml:space="preserve">Certified copies</w:t>
            </w:r>
          </w:p>
        </w:tc>
        <w:tc>
          <w:tcPr/>
          <w:p>
            <w:pPr>
              <w:pStyle w:val="Compact"/>
            </w:pPr>
            <w:r>
              <w:t xml:space="preserve">Must be</w:t>
            </w:r>
            <w:r>
              <w:t xml:space="preserve"> </w:t>
            </w:r>
            <w:r>
              <w:rPr>
                <w:b/>
                <w:bCs/>
              </w:rPr>
              <w:t xml:space="preserve">consular-legalised and translated into Vietnamese by notarised translation</w:t>
            </w:r>
          </w:p>
        </w:tc>
      </w:tr>
    </w:tbl>
    <w:p>
      <w:pPr>
        <w:pStyle w:val="BlockText"/>
      </w:pPr>
      <w:r>
        <w:rPr>
          <w:b/>
          <w:bCs/>
        </w:rPr>
        <w:t xml:space="preserve">Statutory periods and real-world timings are different things.</w:t>
      </w:r>
      <w:r>
        <w:t xml:space="preserve"> </w:t>
      </w:r>
      <w:r>
        <w:t xml:space="preserve">A statutory period is</w:t>
      </w:r>
      <w:r>
        <w:t xml:space="preserve"> </w:t>
      </w:r>
      <w:r>
        <w:t xml:space="preserve">written into law and binds the authority; real-world timing depends on provincial caseload</w:t>
      </w:r>
      <w:r>
        <w:t xml:space="preserve"> </w:t>
      </w:r>
      <w:r>
        <w:t xml:space="preserve">and requests for further documents, and is</w:t>
      </w:r>
      <w:r>
        <w:t xml:space="preserve"> </w:t>
      </w:r>
      <w:r>
        <w:rPr>
          <w:b/>
          <w:bCs/>
        </w:rPr>
        <w:t xml:space="preserve">not something you can require of the authority</w:t>
      </w:r>
      <w:r>
        <w:t xml:space="preserve">.</w:t>
      </w:r>
      <w:r>
        <w:t xml:space="preserve"> </w:t>
      </w:r>
      <w:r>
        <w:t xml:space="preserve">Consular legalisation and notarised translation happen</w:t>
      </w:r>
      <w:r>
        <w:t xml:space="preserve"> </w:t>
      </w:r>
      <w:r>
        <w:rPr>
          <w:b/>
          <w:bCs/>
        </w:rPr>
        <w:t xml:space="preserve">before filing</w:t>
      </w:r>
      <w:r>
        <w:t xml:space="preserve"> </w:t>
      </w:r>
      <w:r>
        <w:t xml:space="preserve">and fall outside the</w:t>
      </w:r>
      <w:r>
        <w:t xml:space="preserve"> </w:t>
      </w:r>
      <w:r>
        <w:t xml:space="preserve">statutory period — budget for them separately.</w:t>
      </w:r>
    </w:p>
    <w:p>
      <w:r>
        <w:pict>
          <v:rect style="width:0;height:1.5pt" o:hralign="center" o:hrstd="t" o:hr="t"/>
        </w:pict>
      </w:r>
    </w:p>
    <w:bookmarkStart w:id="9" w:name="i.-first-step-choose-the-company-form"/>
    <w:p>
      <w:pPr>
        <w:pStyle w:val="Heading2"/>
      </w:pPr>
      <w:r>
        <w:t xml:space="preserve">I. First step: choose the company form</w:t>
      </w:r>
    </w:p>
    <w:p>
      <w:pPr>
        <w:pStyle w:val="FirstParagraph"/>
      </w:pPr>
      <w:r>
        <w:t xml:space="preserve">The governing text is the</w:t>
      </w:r>
      <w:r>
        <w:t xml:space="preserve"> </w:t>
      </w:r>
      <w:r>
        <w:rPr>
          <w:b/>
          <w:bCs/>
        </w:rPr>
        <w:t xml:space="preserve">Law on Enterprises No. 59/2020/QH14</w:t>
      </w:r>
      <w:r>
        <w:t xml:space="preserve">, which provides</w:t>
      </w:r>
      <w:r>
        <w:t xml:space="preserve"> </w:t>
      </w:r>
      <w:r>
        <w:rPr>
          <w:b/>
          <w:bCs/>
        </w:rPr>
        <w:t xml:space="preserve">five</w:t>
      </w:r>
      <w:r>
        <w:t xml:space="preserve"> </w:t>
      </w:r>
      <w:r>
        <w:t xml:space="preserve">forms: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Form</w:t>
            </w:r>
          </w:p>
        </w:tc>
        <w:tc>
          <w:tcPr/>
          <w:p>
            <w:pPr>
              <w:pStyle w:val="Compact"/>
            </w:pPr>
            <w:r>
              <w:t xml:space="preserve">Members / shareholders</w:t>
            </w:r>
          </w:p>
        </w:tc>
        <w:tc>
          <w:tcPr/>
          <w:p>
            <w:pPr>
              <w:pStyle w:val="Compact"/>
            </w:pPr>
            <w:r>
              <w:t xml:space="preserve">Extent of liability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Single-member limited liability company</w:t>
            </w:r>
          </w:p>
        </w:tc>
        <w:tc>
          <w:tcPr/>
          <w:p>
            <w:pPr>
              <w:pStyle w:val="Compact"/>
            </w:pPr>
            <w:r>
              <w:t xml:space="preserve">One organisation or one individual</w:t>
            </w:r>
          </w:p>
        </w:tc>
        <w:tc>
          <w:tcPr/>
          <w:p>
            <w:pPr>
              <w:pStyle w:val="Compact"/>
            </w:pPr>
            <w:r>
              <w:t xml:space="preserve">The owner is liable to the extent of the</w:t>
            </w:r>
            <w:r>
              <w:t xml:space="preserve"> </w:t>
            </w:r>
            <w:r>
              <w:rPr>
                <w:b/>
                <w:bCs/>
              </w:rPr>
              <w:t xml:space="preserve">charter capital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Multi-member limited liability company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 to 50</w:t>
            </w:r>
            <w:r>
              <w:t xml:space="preserve"> </w:t>
            </w:r>
            <w:r>
              <w:t xml:space="preserve">members (individuals, organisations or both)</w:t>
            </w:r>
          </w:p>
        </w:tc>
        <w:tc>
          <w:tcPr/>
          <w:p>
            <w:pPr>
              <w:pStyle w:val="Compact"/>
            </w:pPr>
            <w:r>
              <w:t xml:space="preserve">Each member is liable to the extent of</w:t>
            </w:r>
            <w:r>
              <w:t xml:space="preserve"> </w:t>
            </w:r>
            <w:r>
              <w:rPr>
                <w:b/>
                <w:bCs/>
              </w:rPr>
              <w:t xml:space="preserve">capital actually contributed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Joint stock company</w:t>
            </w:r>
          </w:p>
        </w:tc>
        <w:tc>
          <w:tcPr/>
          <w:p>
            <w:pPr>
              <w:pStyle w:val="Compact"/>
            </w:pPr>
            <w:r>
              <w:t xml:space="preserve">Charter capital divided into equal shares</w:t>
            </w:r>
          </w:p>
        </w:tc>
        <w:tc>
          <w:tcPr/>
          <w:p>
            <w:pPr>
              <w:pStyle w:val="Compact"/>
            </w:pPr>
            <w:r>
              <w:t xml:space="preserve">Shareholders liable to the extent of their shares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Partnership</w:t>
            </w:r>
          </w:p>
        </w:tc>
        <w:tc>
          <w:tcPr/>
          <w:p>
            <w:pPr>
              <w:pStyle w:val="Compact"/>
            </w:pPr>
            <w:r>
              <w:t xml:space="preserve">At least two general partners</w:t>
            </w:r>
          </w:p>
        </w:tc>
        <w:tc>
          <w:tcPr/>
          <w:p>
            <w:pPr>
              <w:pStyle w:val="Compact"/>
            </w:pPr>
            <w:r>
              <w:t xml:space="preserve">General partners bear unlimited joint liability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Sole proprietorship</w:t>
            </w:r>
          </w:p>
        </w:tc>
        <w:tc>
          <w:tcPr/>
          <w:p>
            <w:pPr>
              <w:pStyle w:val="Compact"/>
            </w:pPr>
            <w:r>
              <w:t xml:space="preserve">One individual</w:t>
            </w:r>
          </w:p>
        </w:tc>
        <w:tc>
          <w:tcPr/>
          <w:p>
            <w:pPr>
              <w:pStyle w:val="Compact"/>
            </w:pPr>
            <w:r>
              <w:t xml:space="preserve">Liable with</w:t>
            </w:r>
            <w:r>
              <w:t xml:space="preserve"> </w:t>
            </w:r>
            <w:r>
              <w:rPr>
                <w:b/>
                <w:bCs/>
              </w:rPr>
              <w:t xml:space="preserve">all personal assets</w:t>
            </w:r>
          </w:p>
        </w:tc>
      </w:tr>
    </w:tbl>
    <w:p>
      <w:pPr>
        <w:pStyle w:val="BlockText"/>
      </w:pPr>
      <w:r>
        <w:rPr>
          <w:b/>
          <w:bCs/>
        </w:rPr>
        <w:t xml:space="preserve">Foreign investors use the first two most often.</w:t>
      </w:r>
      <w:r>
        <w:t xml:space="preserve"> </w:t>
      </w:r>
      <w:r>
        <w:t xml:space="preserve">The single-member LLC is the simplest</w:t>
      </w:r>
      <w:r>
        <w:t xml:space="preserve"> </w:t>
      </w:r>
      <w:r>
        <w:t xml:space="preserve">structure (one foreign owner); the multi-member LLC suits joint ventures or several</w:t>
      </w:r>
      <w:r>
        <w:t xml:space="preserve"> </w:t>
      </w:r>
      <w:r>
        <w:t xml:space="preserve">contributors. A joint stock company is more flexible for raising capital and transferring</w:t>
      </w:r>
      <w:r>
        <w:t xml:space="preserve"> </w:t>
      </w:r>
      <w:r>
        <w:t xml:space="preserve">equity, but carries heavier governance and disclosure obligations.</w:t>
      </w:r>
      <w:r>
        <w:t xml:space="preserve"> </w:t>
      </w:r>
      <w:r>
        <w:rPr>
          <w:b/>
          <w:bCs/>
        </w:rPr>
        <w:t xml:space="preserve">Choose the form together with your exit plan; converting after incorporation is a separate procedure.</w:t>
      </w:r>
    </w:p>
    <w:bookmarkEnd w:id="9"/>
    <w:bookmarkStart w:id="10" w:name="ii.-charter-capital"/>
    <w:p>
      <w:pPr>
        <w:pStyle w:val="Heading2"/>
      </w:pPr>
      <w:r>
        <w:t xml:space="preserve">II. Charter capital</w:t>
      </w:r>
    </w:p>
    <w:p>
      <w:pPr>
        <w:pStyle w:val="FirstParagraph"/>
      </w:pPr>
      <w:r>
        <w:rPr>
          <w:b/>
          <w:bCs/>
        </w:rPr>
        <w:t xml:space="preserve">The Law on Enterprises 2020 sets no minimum charter capital for any form.</w:t>
      </w:r>
    </w:p>
    <w:p>
      <w:pPr>
        <w:pStyle w:val="Compact"/>
        <w:numPr>
          <w:ilvl w:val="0"/>
          <w:numId w:val="1001"/>
        </w:numPr>
      </w:pPr>
      <w:r>
        <w:t xml:space="preserve">An LLC’s charter capital is the aggregate of the contributions members</w:t>
      </w:r>
      <w:r>
        <w:t xml:space="preserve"> </w:t>
      </w:r>
      <w:r>
        <w:rPr>
          <w:b/>
          <w:bCs/>
        </w:rPr>
        <w:t xml:space="preserve">undertake to make</w:t>
      </w:r>
      <w:r>
        <w:t xml:space="preserve">,</w:t>
      </w:r>
      <w:r>
        <w:t xml:space="preserve"> </w:t>
      </w:r>
      <w:r>
        <w:t xml:space="preserve">as recorded in the company charter.</w:t>
      </w:r>
    </w:p>
    <w:p>
      <w:pPr>
        <w:pStyle w:val="Compact"/>
        <w:numPr>
          <w:ilvl w:val="0"/>
          <w:numId w:val="1001"/>
        </w:numPr>
      </w:pPr>
      <w:r>
        <w:t xml:space="preserve">Exception:</w:t>
      </w:r>
      <w:r>
        <w:t xml:space="preserve"> </w:t>
      </w:r>
      <w:r>
        <w:rPr>
          <w:b/>
          <w:bCs/>
        </w:rPr>
        <w:t xml:space="preserve">conditional business lines</w:t>
      </w:r>
      <w:r>
        <w:t xml:space="preserve"> </w:t>
      </w:r>
      <w:r>
        <w:t xml:space="preserve">have their own rules (banking, insurance, real</w:t>
      </w:r>
      <w:r>
        <w:t xml:space="preserve"> </w:t>
      </w:r>
      <w:r>
        <w:t xml:space="preserve">estate business, labour outsourcing and others).</w:t>
      </w:r>
    </w:p>
    <w:p>
      <w:pPr>
        <w:pStyle w:val="BlockText"/>
      </w:pPr>
      <w:r>
        <w:rPr>
          <w:b/>
          <w:bCs/>
        </w:rPr>
        <w:t xml:space="preserve">“No statutory floor”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mean the figure is arbitrary.</w:t>
      </w:r>
      <w:r>
        <w:t xml:space="preserve"> </w:t>
      </w:r>
      <w:r>
        <w:t xml:space="preserve">Charter capital is used by</w:t>
      </w:r>
      <w:r>
        <w:t xml:space="preserve"> </w:t>
      </w:r>
      <w:r>
        <w:t xml:space="preserve">authorities and counterparties to judge capacity to perform, and for FDI projects it is</w:t>
      </w:r>
      <w:r>
        <w:t xml:space="preserve"> </w:t>
      </w:r>
      <w:r>
        <w:t xml:space="preserve">read against the total investment capital on the IRC. Too low may affect market-access</w:t>
      </w:r>
      <w:r>
        <w:t xml:space="preserve"> </w:t>
      </w:r>
      <w:r>
        <w:t xml:space="preserve">approval, visa quotas and bank account opening; too high must still be paid up within the</w:t>
      </w:r>
      <w:r>
        <w:t xml:space="preserve"> </w:t>
      </w:r>
      <w:r>
        <w:t xml:space="preserve">period undertaken.</w:t>
      </w:r>
    </w:p>
    <w:p>
      <w:pPr>
        <w:pStyle w:val="BlockText"/>
      </w:pPr>
      <w:r>
        <w:rPr>
          <w:b/>
          <w:bCs/>
        </w:rPr>
        <w:t xml:space="preserve">For foreign investors</w:t>
      </w:r>
      <w:r>
        <w:t xml:space="preserve">: contributions must pass through a</w:t>
      </w:r>
      <w:r>
        <w:t xml:space="preserve"> </w:t>
      </w:r>
      <w:r>
        <w:rPr>
          <w:b/>
          <w:bCs/>
        </w:rPr>
        <w:t xml:space="preserve">DICA</w:t>
      </w:r>
      <w:r>
        <w:t xml:space="preserve"> </w:t>
      </w:r>
      <w:r>
        <w:t xml:space="preserve">(Direct Investment</w:t>
      </w:r>
      <w:r>
        <w:t xml:space="preserve"> </w:t>
      </w:r>
      <w:r>
        <w:t xml:space="preserve">Capital Account, under Circular 06/2019/TT-NHNN). That account</w:t>
      </w:r>
      <w:r>
        <w:t xml:space="preserve"> </w:t>
      </w:r>
      <w:r>
        <w:rPr>
          <w:b/>
          <w:bCs/>
        </w:rPr>
        <w:t xml:space="preserve">may be held in foreign</w:t>
      </w:r>
      <w:r>
        <w:rPr>
          <w:b/>
          <w:bCs/>
        </w:rPr>
        <w:t xml:space="preserve"> </w:t>
      </w:r>
      <w:r>
        <w:rPr>
          <w:b/>
          <w:bCs/>
        </w:rPr>
        <w:t xml:space="preserve">currency or in Vietnamese dong</w:t>
      </w:r>
      <w:r>
        <w:t xml:space="preserve">. Confirm the currency usable for a given contribution with</w:t>
      </w:r>
      <w:r>
        <w:t xml:space="preserve"> </w:t>
      </w:r>
      <w:r>
        <w:t xml:space="preserve">the account bank and a practising adviser — widely circulated Chinese-language material</w:t>
      </w:r>
      <w:r>
        <w:t xml:space="preserve"> </w:t>
      </w:r>
      <w:r>
        <w:t xml:space="preserve">states</w:t>
      </w:r>
      <w:r>
        <w:t xml:space="preserve"> </w:t>
      </w:r>
      <w:r>
        <w:t xml:space="preserve">“foreign currency only”</w:t>
      </w:r>
      <w:r>
        <w:t xml:space="preserve">, which sits uneasily with the circular, and this guide does</w:t>
      </w:r>
      <w:r>
        <w:t xml:space="preserve"> </w:t>
      </w:r>
      <w:r>
        <w:t xml:space="preserve">not reproduce unverified assertions.</w:t>
      </w:r>
    </w:p>
    <w:bookmarkEnd w:id="10"/>
    <w:bookmarkStart w:id="11" w:name="iii.-legal-representative"/>
    <w:p>
      <w:pPr>
        <w:pStyle w:val="Heading2"/>
      </w:pPr>
      <w:r>
        <w:t xml:space="preserve">III. Legal representative</w:t>
      </w:r>
    </w:p>
    <w:p>
      <w:pPr>
        <w:pStyle w:val="FirstParagraph"/>
      </w:pPr>
      <w:r>
        <w:rPr>
          <w:b/>
          <w:bCs/>
        </w:rPr>
        <w:t xml:space="preserve">Article 12.3 of the Law on Enterprises 2020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An enterprise</w:t>
      </w:r>
      <w:r>
        <w:t xml:space="preserve"> </w:t>
      </w:r>
      <w:r>
        <w:rPr>
          <w:b/>
          <w:bCs/>
        </w:rPr>
        <w:t xml:space="preserve">must at all times have at least one legal representative residing in Vietnam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Where only one such representative remains, that person</w:t>
      </w:r>
      <w:r>
        <w:t xml:space="preserve"> </w:t>
      </w:r>
      <w:r>
        <w:rPr>
          <w:b/>
          <w:bCs/>
        </w:rPr>
        <w:t xml:space="preserve">must, before leaving Vietnam,</w:t>
      </w:r>
      <w:r>
        <w:rPr>
          <w:b/>
          <w:bCs/>
        </w:rPr>
        <w:t xml:space="preserve"> </w:t>
      </w:r>
      <w:r>
        <w:rPr>
          <w:b/>
          <w:bCs/>
        </w:rPr>
        <w:t xml:space="preserve">authorise in writing</w:t>
      </w:r>
      <w:r>
        <w:t xml:space="preserve"> </w:t>
      </w:r>
      <w:r>
        <w:t xml:space="preserve">another individual residing in Vietnam to exercise the rights and</w:t>
      </w:r>
      <w:r>
        <w:t xml:space="preserve"> </w:t>
      </w:r>
      <w:r>
        <w:t xml:space="preserve">obligations of the legal representative.</w:t>
      </w:r>
    </w:p>
    <w:p>
      <w:pPr>
        <w:pStyle w:val="FirstParagraph"/>
      </w:pPr>
      <w:r>
        <w:rPr>
          <w:b/>
          <w:bCs/>
        </w:rPr>
        <w:t xml:space="preserve">The legal representative need not be a Vietnamese national</w:t>
      </w:r>
      <w:r>
        <w:t xml:space="preserve"> </w:t>
      </w:r>
      <w:r>
        <w:t xml:space="preserve">— lawful residence in Vietnam suffices.</w:t>
      </w:r>
    </w:p>
    <w:p>
      <w:pPr>
        <w:pStyle w:val="BlockText"/>
      </w:pPr>
      <w:r>
        <w:rPr>
          <w:b/>
          <w:bCs/>
        </w:rPr>
        <w:t xml:space="preserve">This is the most common practical blockage for Chinese-invested companies.</w:t>
      </w:r>
      <w:r>
        <w:t xml:space="preserve"> </w:t>
      </w:r>
      <w:r>
        <w:t xml:space="preserve">Where the</w:t>
      </w:r>
      <w:r>
        <w:t xml:space="preserve"> </w:t>
      </w:r>
      <w:r>
        <w:t xml:space="preserve">legal representative is absent for long periods and has left no written authorisation,</w:t>
      </w:r>
      <w:r>
        <w:t xml:space="preserve"> </w:t>
      </w:r>
      <w:r>
        <w:t xml:space="preserve">everything stops the moment the company must sign or confirm something with an authority,</w:t>
      </w:r>
      <w:r>
        <w:t xml:space="preserve"> </w:t>
      </w:r>
      <w:r>
        <w:t xml:space="preserve">a bank or a counterparty. Settle it at incorporation: who is resident, who is authorised on</w:t>
      </w:r>
      <w:r>
        <w:t xml:space="preserve"> </w:t>
      </w:r>
      <w:r>
        <w:t xml:space="preserve">departure, and where the authorisation is held.</w:t>
      </w:r>
    </w:p>
    <w:bookmarkEnd w:id="11"/>
    <w:bookmarkStart w:id="12" w:name="Xe77b453dfaef2b8e377d0d4e2bc42e7c7efaf17"/>
    <w:p>
      <w:pPr>
        <w:pStyle w:val="Heading2"/>
      </w:pPr>
      <w:r>
        <w:t xml:space="preserve">IV. The prerequisite for foreign investors: the Investment Registration Certificate (IRC)</w:t>
      </w:r>
    </w:p>
    <w:p>
      <w:pPr>
        <w:pStyle w:val="FirstParagraph"/>
      </w:pPr>
      <w:r>
        <w:t xml:space="preserve">Under</w:t>
      </w:r>
      <w:r>
        <w:t xml:space="preserve"> </w:t>
      </w:r>
      <w:r>
        <w:rPr>
          <w:b/>
          <w:bCs/>
        </w:rPr>
        <w:t xml:space="preserve">Article 38 of the Investment Law No. 61/2020/QH14</w:t>
      </w:r>
      <w:r>
        <w:t xml:space="preserve">, for a project</w:t>
      </w:r>
      <w:r>
        <w:t xml:space="preserve"> </w:t>
      </w:r>
      <w:r>
        <w:rPr>
          <w:b/>
          <w:bCs/>
        </w:rPr>
        <w:t xml:space="preserve">not requiring</w:t>
      </w:r>
      <w:r>
        <w:rPr>
          <w:b/>
          <w:bCs/>
        </w:rPr>
        <w:t xml:space="preserve"> </w:t>
      </w:r>
      <w:r>
        <w:rPr>
          <w:b/>
          <w:bCs/>
        </w:rPr>
        <w:t xml:space="preserve">in-principle investment approval</w:t>
      </w:r>
      <w:r>
        <w:t xml:space="preserve">, the investment registration authority issues the IRC</w:t>
      </w:r>
      <w:r>
        <w:t xml:space="preserve"> </w:t>
      </w:r>
      <w:r>
        <w:rPr>
          <w:b/>
          <w:bCs/>
        </w:rPr>
        <w:t xml:space="preserve">within 15 days</w:t>
      </w:r>
      <w:r>
        <w:t xml:space="preserve"> </w:t>
      </w:r>
      <w:r>
        <w:t xml:space="preserve">of receiving the investor’s application.</w:t>
      </w:r>
    </w:p>
    <w:p>
      <w:pPr>
        <w:pStyle w:val="BodyText"/>
      </w:pPr>
      <w:r>
        <w:rPr>
          <w:b/>
          <w:bCs/>
        </w:rPr>
        <w:t xml:space="preserve">Dossier</w:t>
      </w:r>
      <w:r>
        <w:t xml:space="preserve"> </w:t>
      </w:r>
      <w:r>
        <w:t xml:space="preserve">(corporate investors):</w:t>
      </w:r>
    </w:p>
    <w:p>
      <w:pPr>
        <w:pStyle w:val="Compact"/>
        <w:numPr>
          <w:ilvl w:val="0"/>
          <w:numId w:val="1003"/>
        </w:numPr>
      </w:pPr>
      <w:r>
        <w:t xml:space="preserve">Investment project proposal;</w:t>
      </w:r>
    </w:p>
    <w:p>
      <w:pPr>
        <w:pStyle w:val="Compact"/>
        <w:numPr>
          <w:ilvl w:val="0"/>
          <w:numId w:val="1003"/>
        </w:numPr>
      </w:pPr>
      <w:r>
        <w:t xml:space="preserve">Statement of financial capability;</w:t>
      </w:r>
    </w:p>
    <w:p>
      <w:pPr>
        <w:pStyle w:val="Compact"/>
        <w:numPr>
          <w:ilvl w:val="0"/>
          <w:numId w:val="1003"/>
        </w:numPr>
      </w:pPr>
      <w:r>
        <w:t xml:space="preserve">Charter of the parent company;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Financial statements for the two most recent years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Passport or identity document of the authorised representative / legal representative;</w:t>
      </w:r>
    </w:p>
    <w:p>
      <w:pPr>
        <w:pStyle w:val="Compact"/>
        <w:numPr>
          <w:ilvl w:val="0"/>
          <w:numId w:val="1003"/>
        </w:numPr>
      </w:pPr>
      <w:r>
        <w:t xml:space="preserve">Business licence of the parent company;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All of the above consular-legalised with notarised Vietnamese translations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Sectoral access</w:t>
      </w:r>
      <w:r>
        <w:t xml:space="preserve">: where the intended line of business is subject to market-access</w:t>
      </w:r>
      <w:r>
        <w:t xml:space="preserve"> </w:t>
      </w:r>
      <w:r>
        <w:t xml:space="preserve">conditions for foreign investors (under WTO commitments, the CPTPP or the Investment Law),</w:t>
      </w:r>
      <w:r>
        <w:t xml:space="preserve"> </w:t>
      </w:r>
      <w:r>
        <w:t xml:space="preserve">there may be limits on the permitted shareholding or a requirement to operate as a joint</w:t>
      </w:r>
      <w:r>
        <w:t xml:space="preserve"> </w:t>
      </w:r>
      <w:r>
        <w:t xml:space="preserve">venture.</w:t>
      </w:r>
      <w:r>
        <w:t xml:space="preserve"> </w:t>
      </w:r>
      <w:r>
        <w:rPr>
          <w:b/>
          <w:bCs/>
        </w:rPr>
        <w:t xml:space="preserve">Confirm this before choosing premises or signing anything</w:t>
      </w:r>
      <w:r>
        <w:t xml:space="preserve">, or early expenditure</w:t>
      </w:r>
      <w:r>
        <w:t xml:space="preserve"> </w:t>
      </w:r>
      <w:r>
        <w:t xml:space="preserve">may be wasted.</w:t>
      </w:r>
    </w:p>
    <w:bookmarkEnd w:id="12"/>
    <w:bookmarkStart w:id="13" w:name="v.-the-erc-application"/>
    <w:p>
      <w:pPr>
        <w:pStyle w:val="Heading2"/>
      </w:pPr>
      <w:r>
        <w:t xml:space="preserve">V. The ERC application</w:t>
      </w:r>
    </w:p>
    <w:p>
      <w:pPr>
        <w:pStyle w:val="FirstParagraph"/>
      </w:pPr>
      <w:r>
        <w:rPr>
          <w:b/>
          <w:bCs/>
        </w:rPr>
        <w:t xml:space="preserve">Receiving authority</w:t>
      </w:r>
      <w:r>
        <w:t xml:space="preserve">: the</w:t>
      </w:r>
      <w:r>
        <w:t xml:space="preserve"> </w:t>
      </w:r>
      <w:r>
        <w:rPr>
          <w:b/>
          <w:bCs/>
        </w:rPr>
        <w:t xml:space="preserve">Business Registration and Corporate Finance Division</w:t>
      </w:r>
      <w:r>
        <w:t xml:space="preserve"> </w:t>
      </w:r>
      <w:r>
        <w:t xml:space="preserve">of the</w:t>
      </w:r>
      <w:r>
        <w:t xml:space="preserve"> </w:t>
      </w:r>
      <w:r>
        <w:t xml:space="preserve">provincial or municipal</w:t>
      </w:r>
      <w:r>
        <w:t xml:space="preserve"> </w:t>
      </w:r>
      <w:r>
        <w:rPr>
          <w:b/>
          <w:bCs/>
        </w:rPr>
        <w:t xml:space="preserve">Department of Finance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The authority has been renamed</w:t>
      </w:r>
      <w:r>
        <w:t xml:space="preserve">: the</w:t>
      </w:r>
      <w:r>
        <w:t xml:space="preserve"> </w:t>
      </w:r>
      <w:r>
        <w:rPr>
          <w:b/>
          <w:bCs/>
        </w:rPr>
        <w:t xml:space="preserve">Department of Planning and Investment</w:t>
      </w:r>
      <w:r>
        <w:t xml:space="preserve"> </w:t>
      </w:r>
      <w:r>
        <w:t xml:space="preserve">has been</w:t>
      </w:r>
      <w:r>
        <w:t xml:space="preserve"> </w:t>
      </w:r>
      <w:r>
        <w:t xml:space="preserve">merged into the Department of Finance. Chinese-language material from before 2025 almost</w:t>
      </w:r>
      <w:r>
        <w:t xml:space="preserve"> </w:t>
      </w:r>
      <w:r>
        <w:t xml:space="preserve">always still says</w:t>
      </w:r>
      <w:r>
        <w:t xml:space="preserve"> </w:t>
      </w:r>
      <w:r>
        <w:t xml:space="preserve">“Department of Planning and Investment”</w:t>
      </w:r>
      <w:r>
        <w:t xml:space="preserve">; searching under the old name</w:t>
      </w:r>
      <w:r>
        <w:t xml:space="preserve"> </w:t>
      </w:r>
      <w:r>
        <w:t xml:space="preserve">leads to the wrong office.</w:t>
      </w:r>
    </w:p>
    <w:p>
      <w:pPr>
        <w:pStyle w:val="FirstParagraph"/>
      </w:pPr>
      <w:r>
        <w:rPr>
          <w:b/>
          <w:bCs/>
        </w:rPr>
        <w:t xml:space="preserve">Statutory period</w:t>
      </w:r>
      <w:r>
        <w:t xml:space="preserve">: the business registration authority must examine the validity of the</w:t>
      </w:r>
      <w:r>
        <w:t xml:space="preserve"> </w:t>
      </w:r>
      <w:r>
        <w:t xml:space="preserve">dossier and issue the registration</w:t>
      </w:r>
      <w:r>
        <w:t xml:space="preserve"> </w:t>
      </w:r>
      <w:r>
        <w:rPr>
          <w:b/>
          <w:bCs/>
        </w:rPr>
        <w:t xml:space="preserve">within 3 working days</w:t>
      </w:r>
      <w:r>
        <w:t xml:space="preserve"> </w:t>
      </w:r>
      <w:r>
        <w:t xml:space="preserve">of receipt. Where the dossier is</w:t>
      </w:r>
      <w:r>
        <w:t xml:space="preserve"> </w:t>
      </w:r>
      <w:r>
        <w:t xml:space="preserve">not valid, the authority must notify</w:t>
      </w:r>
      <w:r>
        <w:t xml:space="preserve"> </w:t>
      </w:r>
      <w:r>
        <w:rPr>
          <w:b/>
          <w:bCs/>
        </w:rPr>
        <w:t xml:space="preserve">in writing</w:t>
      </w:r>
      <w:r>
        <w:t xml:space="preserve"> </w:t>
      </w:r>
      <w:r>
        <w:t xml:space="preserve">what must be corrected or supplemented.</w:t>
      </w:r>
      <w:r>
        <w:t xml:space="preserve"> </w:t>
      </w:r>
      <w:r>
        <w:t xml:space="preserve">Changes to the ERC are likewise 3 working days.</w:t>
      </w:r>
    </w:p>
    <w:p>
      <w:pPr>
        <w:pStyle w:val="BodyText"/>
      </w:pPr>
      <w:r>
        <w:rPr>
          <w:b/>
          <w:bCs/>
        </w:rPr>
        <w:t xml:space="preserve">The dossier typically comprises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Application for enterprise registration;</w:t>
      </w:r>
    </w:p>
    <w:p>
      <w:pPr>
        <w:pStyle w:val="Compact"/>
        <w:numPr>
          <w:ilvl w:val="0"/>
          <w:numId w:val="1004"/>
        </w:numPr>
      </w:pPr>
      <w:r>
        <w:t xml:space="preserve">Company charter;</w:t>
      </w:r>
    </w:p>
    <w:p>
      <w:pPr>
        <w:pStyle w:val="Compact"/>
        <w:numPr>
          <w:ilvl w:val="0"/>
          <w:numId w:val="1004"/>
        </w:numPr>
      </w:pPr>
      <w:r>
        <w:t xml:space="preserve">List of members / shareholders (multi-member LLC, joint stock company);</w:t>
      </w:r>
    </w:p>
    <w:p>
      <w:pPr>
        <w:pStyle w:val="Compact"/>
        <w:numPr>
          <w:ilvl w:val="0"/>
          <w:numId w:val="1004"/>
        </w:numPr>
      </w:pPr>
      <w:r>
        <w:t xml:space="preserve">Certified copies of identity documents of members / shareholders and the legal</w:t>
      </w:r>
      <w:r>
        <w:t xml:space="preserve"> </w:t>
      </w:r>
      <w:r>
        <w:t xml:space="preserve">representative (for corporate members, also their registration certificate and</w:t>
      </w:r>
      <w:r>
        <w:t xml:space="preserve"> </w:t>
      </w:r>
      <w:r>
        <w:t xml:space="preserve">authorisation document);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Foreign investors also attach a copy of the IRC</w:t>
      </w:r>
      <w:r>
        <w:t xml:space="preserve">.</w:t>
      </w:r>
    </w:p>
    <w:p>
      <w:pPr>
        <w:pStyle w:val="BlockText"/>
      </w:pPr>
      <w:r>
        <w:t xml:space="preserve">The exact list varies slightly by company form and by province;</w:t>
      </w:r>
      <w:r>
        <w:t xml:space="preserve"> </w:t>
      </w:r>
      <w:r>
        <w:rPr>
          <w:b/>
          <w:bCs/>
        </w:rPr>
        <w:t xml:space="preserve">rely on the list published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receiving authority before filing</w:t>
      </w:r>
      <w:r>
        <w:t xml:space="preserve">.</w:t>
      </w:r>
    </w:p>
    <w:bookmarkEnd w:id="13"/>
    <w:bookmarkStart w:id="14" w:name="vi.-statutory-fees"/>
    <w:p>
      <w:pPr>
        <w:pStyle w:val="Heading2"/>
      </w:pPr>
      <w:r>
        <w:t xml:space="preserve">VI. Statutory fees</w:t>
      </w:r>
    </w:p>
    <w:p>
      <w:pPr>
        <w:pStyle w:val="FirstParagraph"/>
      </w:pPr>
      <w:r>
        <w:t xml:space="preserve">Under</w:t>
      </w:r>
      <w:r>
        <w:t xml:space="preserve"> </w:t>
      </w:r>
      <w:r>
        <w:rPr>
          <w:b/>
          <w:bCs/>
        </w:rPr>
        <w:t xml:space="preserve">Circular No. 47/2019/TT-BTC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 registration fee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50,000 per filing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Fee for publishing the registration content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100,000 per filing</w:t>
            </w:r>
          </w:p>
        </w:tc>
      </w:tr>
    </w:tbl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Filing online exempts the enterprise registration fee</w:t>
      </w:r>
      <w:r>
        <w:t xml:space="preserve">; where publication is required,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VND 100,000 publication fee is still payable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Other exemptions (Article 5): supplements or changes made because of</w:t>
      </w:r>
      <w:r>
        <w:t xml:space="preserve"> </w:t>
      </w:r>
      <w:r>
        <w:rPr>
          <w:b/>
          <w:bCs/>
        </w:rPr>
        <w:t xml:space="preserve">administrative</w:t>
      </w:r>
      <w:r>
        <w:rPr>
          <w:b/>
          <w:bCs/>
        </w:rPr>
        <w:t xml:space="preserve"> </w:t>
      </w:r>
      <w:r>
        <w:rPr>
          <w:b/>
          <w:bCs/>
        </w:rPr>
        <w:t xml:space="preserve">boundary reform</w:t>
      </w:r>
      <w:r>
        <w:t xml:space="preserve"> </w:t>
      </w:r>
      <w:r>
        <w:t xml:space="preserve">are exempt from both fees; registration of dissolution and of business</w:t>
      </w:r>
      <w:r>
        <w:t xml:space="preserve"> </w:t>
      </w:r>
      <w:r>
        <w:t xml:space="preserve">suspension are exempt.</w:t>
      </w:r>
    </w:p>
    <w:p>
      <w:pPr>
        <w:pStyle w:val="BlockText"/>
      </w:pPr>
      <w:r>
        <w:rPr>
          <w:b/>
          <w:bCs/>
        </w:rPr>
        <w:t xml:space="preserve">Keep statutory fees separate from agency service fees.</w:t>
      </w:r>
      <w:r>
        <w:t xml:space="preserve"> </w:t>
      </w:r>
      <w:r>
        <w:t xml:space="preserve">Statutory fees total only</w:t>
      </w:r>
      <w:r>
        <w:t xml:space="preserve"> </w:t>
      </w:r>
      <w:r>
        <w:rPr>
          <w:b/>
          <w:bCs/>
        </w:rPr>
        <w:t xml:space="preserve">VND 150,000</w:t>
      </w:r>
      <w:r>
        <w:t xml:space="preserve"> </w:t>
      </w:r>
      <w:r>
        <w:t xml:space="preserve">(VND 100,000 if filed online). Chinese-language material often reports the</w:t>
      </w:r>
      <w:r>
        <w:t xml:space="preserve"> </w:t>
      </w:r>
      <w:r>
        <w:t xml:space="preserve">two as a single</w:t>
      </w:r>
      <w:r>
        <w:t xml:space="preserve"> </w:t>
      </w:r>
      <w:r>
        <w:t xml:space="preserve">“registration cost”</w:t>
      </w:r>
      <w:r>
        <w:t xml:space="preserve">, leaving readers to assume that tens of millions of dong</w:t>
      </w:r>
      <w:r>
        <w:t xml:space="preserve"> </w:t>
      </w:r>
      <w:r>
        <w:t xml:space="preserve">are collected by the State. Service fees can be compared between providers; statutory fees</w:t>
      </w:r>
      <w:r>
        <w:t xml:space="preserve"> </w:t>
      </w:r>
      <w:r>
        <w:t xml:space="preserve">cannot.</w:t>
      </w:r>
    </w:p>
    <w:bookmarkEnd w:id="14"/>
    <w:bookmarkStart w:id="16" w:name="Xb9aa593bda67383e217cd44887d3220ead1240c"/>
    <w:p>
      <w:pPr>
        <w:pStyle w:val="Heading2"/>
      </w:pPr>
      <w:r>
        <w:t xml:space="preserve">VII. After the ERC: initial post-incorporation steps</w:t>
      </w:r>
    </w:p>
    <w:p>
      <w:pPr>
        <w:pStyle w:val="FirstParagraph"/>
      </w:pPr>
      <w:r>
        <w:t xml:space="preserve">Holding the ERC is only the start. The following carry statutory deadlines: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Initial tax declaration</w:t>
      </w:r>
      <w:r>
        <w:t xml:space="preserve"> </w:t>
      </w:r>
      <w:r>
        <w:t xml:space="preserve">— file within</w:t>
      </w:r>
      <w:r>
        <w:t xml:space="preserve"> </w:t>
      </w:r>
      <w:r>
        <w:rPr>
          <w:b/>
          <w:bCs/>
        </w:rPr>
        <w:t xml:space="preserve">10 days</w:t>
      </w:r>
      <w:r>
        <w:t xml:space="preserve"> </w:t>
      </w:r>
      <w:r>
        <w:t xml:space="preserve">of the ERC being issued;</w:t>
      </w:r>
    </w:p>
    <w:p>
      <w:pPr>
        <w:pStyle w:val="Compact"/>
        <w:numPr>
          <w:ilvl w:val="0"/>
          <w:numId w:val="1006"/>
        </w:numPr>
      </w:pPr>
      <w:r>
        <w:t xml:space="preserve">Have the</w:t>
      </w:r>
      <w:r>
        <w:t xml:space="preserve"> </w:t>
      </w:r>
      <w:r>
        <w:rPr>
          <w:b/>
          <w:bCs/>
        </w:rPr>
        <w:t xml:space="preserve">company seal</w:t>
      </w:r>
      <w:r>
        <w:t xml:space="preserve"> </w:t>
      </w:r>
      <w:r>
        <w:t xml:space="preserve">made and use it as prescribed;</w:t>
      </w:r>
    </w:p>
    <w:p>
      <w:pPr>
        <w:pStyle w:val="Compact"/>
        <w:numPr>
          <w:ilvl w:val="0"/>
          <w:numId w:val="1006"/>
        </w:numPr>
      </w:pPr>
      <w:r>
        <w:t xml:space="preserve">Open the</w:t>
      </w:r>
      <w:r>
        <w:t xml:space="preserve"> </w:t>
      </w:r>
      <w:r>
        <w:rPr>
          <w:b/>
          <w:bCs/>
        </w:rPr>
        <w:t xml:space="preserve">corporate bank account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Purchase a</w:t>
      </w:r>
      <w:r>
        <w:t xml:space="preserve"> </w:t>
      </w:r>
      <w:r>
        <w:rPr>
          <w:b/>
          <w:bCs/>
        </w:rPr>
        <w:t xml:space="preserve">digital signature</w:t>
      </w:r>
      <w:r>
        <w:t xml:space="preserve"> </w:t>
      </w:r>
      <w:r>
        <w:t xml:space="preserve">and register the</w:t>
      </w:r>
      <w:r>
        <w:t xml:space="preserve"> </w:t>
      </w:r>
      <w:r>
        <w:rPr>
          <w:b/>
          <w:bCs/>
        </w:rPr>
        <w:t xml:space="preserve">electronic tax account</w:t>
      </w:r>
      <w:r>
        <w:t xml:space="preserve"> </w:t>
      </w:r>
      <w:r>
        <w:t xml:space="preserve">(</w:t>
      </w:r>
      <w:hyperlink r:id="rId15">
        <w:r>
          <w:rPr>
            <w:rStyle w:val="Hyperlink"/>
          </w:rPr>
          <w:t xml:space="preserve">https://dichvucong.gdt.gov.vn/tthc/homelogin</w:t>
        </w:r>
      </w:hyperlink>
      <w:r>
        <w:t xml:space="preserve">);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Foreign-invested enterprises additionally open a DICA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Register for and begin issuing</w:t>
      </w:r>
      <w:r>
        <w:t xml:space="preserve"> </w:t>
      </w:r>
      <w:r>
        <w:rPr>
          <w:b/>
          <w:bCs/>
        </w:rPr>
        <w:t xml:space="preserve">electronic invoices</w:t>
      </w:r>
      <w:r>
        <w:t xml:space="preserve"> </w:t>
      </w:r>
      <w:r>
        <w:t xml:space="preserve">(Decree No. 70/2025/NĐ-CP,</w:t>
      </w:r>
      <w:r>
        <w:t xml:space="preserve"> </w:t>
      </w:r>
      <w:r>
        <w:t xml:space="preserve">effective 1 June 2025);</w:t>
      </w:r>
    </w:p>
    <w:p>
      <w:pPr>
        <w:pStyle w:val="Compact"/>
        <w:numPr>
          <w:ilvl w:val="0"/>
          <w:numId w:val="1006"/>
        </w:numPr>
      </w:pPr>
      <w:r>
        <w:t xml:space="preserve">Where there are employees, obtain the</w:t>
      </w:r>
      <w:r>
        <w:t xml:space="preserve"> </w:t>
      </w:r>
      <w:r>
        <w:rPr>
          <w:b/>
          <w:bCs/>
        </w:rPr>
        <w:t xml:space="preserve">social insurance unit code</w:t>
      </w:r>
      <w:r>
        <w:t xml:space="preserve"> </w:t>
      </w:r>
      <w:r>
        <w:t xml:space="preserve">and register participation.</w:t>
      </w:r>
    </w:p>
    <w:p>
      <w:pPr>
        <w:pStyle w:val="BlockText"/>
      </w:pPr>
      <w:r>
        <w:rPr>
          <w:b/>
          <w:bCs/>
        </w:rPr>
        <w:t xml:space="preserve">The business licence fee (lệ phí môn bài) has been abolished</w:t>
      </w:r>
      <w:r>
        <w:t xml:space="preserve">; collection ceased on</w:t>
      </w:r>
      <w:r>
        <w:t xml:space="preserve"> </w:t>
      </w:r>
      <w:r>
        <w:rPr>
          <w:b/>
          <w:bCs/>
        </w:rPr>
        <w:t xml:space="preserve">1 January 2026</w:t>
      </w:r>
      <w:r>
        <w:t xml:space="preserve"> </w:t>
      </w:r>
      <w:r>
        <w:t xml:space="preserve">(Article 10 of Resolution No. 198/2025/QH15).</w:t>
      </w:r>
      <w:r>
        <w:t xml:space="preserve"> </w:t>
      </w:r>
      <w:r>
        <w:rPr>
          <w:b/>
          <w:bCs/>
        </w:rPr>
        <w:t xml:space="preserve">Almost every setting-up guide written before 2025 still tells you to declare it — that</w:t>
      </w:r>
      <w:r>
        <w:rPr>
          <w:b/>
          <w:bCs/>
        </w:rPr>
        <w:t xml:space="preserve"> </w:t>
      </w:r>
      <w:r>
        <w:rPr>
          <w:b/>
          <w:bCs/>
        </w:rPr>
        <w:t xml:space="preserve">step no longer exists.</w:t>
      </w:r>
    </w:p>
    <w:p>
      <w:pPr>
        <w:pStyle w:val="BlockText"/>
      </w:pPr>
      <w:r>
        <w:t xml:space="preserve">For tax procedures and filing deadlines, see</w:t>
      </w:r>
      <w:r>
        <w:t xml:space="preserve"> </w:t>
      </w:r>
      <w:r>
        <w:rPr>
          <w:i/>
          <w:iCs/>
        </w:rPr>
        <w:t xml:space="preserve">Guide to Tax Procedures and Initial</w:t>
      </w:r>
      <w:r>
        <w:rPr>
          <w:i/>
          <w:iCs/>
        </w:rPr>
        <w:t xml:space="preserve"> </w:t>
      </w:r>
      <w:r>
        <w:rPr>
          <w:i/>
          <w:iCs/>
        </w:rPr>
        <w:t xml:space="preserve">Post-Incorporation Procedures for Enterprises in Vietnam</w:t>
      </w:r>
      <w:r>
        <w:t xml:space="preserve"> </w:t>
      </w:r>
      <w:r>
        <w:t xml:space="preserve">in this library; for recruitment</w:t>
      </w:r>
      <w:r>
        <w:t xml:space="preserve"> </w:t>
      </w:r>
      <w:r>
        <w:t xml:space="preserve">and social insurance, see</w:t>
      </w:r>
      <w:r>
        <w:t xml:space="preserve"> </w:t>
      </w:r>
      <w:r>
        <w:rPr>
          <w:i/>
          <w:iCs/>
        </w:rPr>
        <w:t xml:space="preserve">Recruitment, Social Insurance and Personal Income Tax</w:t>
      </w:r>
      <w:r>
        <w:rPr>
          <w:i/>
          <w:iCs/>
        </w:rPr>
        <w:t xml:space="preserve"> </w:t>
      </w:r>
      <w:r>
        <w:rPr>
          <w:i/>
          <w:iCs/>
        </w:rPr>
        <w:t xml:space="preserve">Withholding in Vietnam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6"/>
    <w:bookmarkStart w:id="17" w:name="viii.-legal-basis-referenced"/>
    <w:p>
      <w:pPr>
        <w:pStyle w:val="Heading2"/>
      </w:pPr>
      <w:r>
        <w:t xml:space="preserve">VIII. Legal Basis Referenced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Basis</w:t>
            </w:r>
          </w:p>
        </w:tc>
        <w:tc>
          <w:tcPr/>
          <w:p>
            <w:pPr>
              <w:pStyle w:val="Compact"/>
            </w:pPr>
            <w:r>
              <w:t xml:space="preserve">Substance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Company forms and charter capital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on Enterprises No. 59/2020/QH14</w:t>
            </w:r>
            <w:r>
              <w:t xml:space="preserve"> </w:t>
            </w:r>
            <w:r>
              <w:t xml:space="preserve">(Article 46 and others)</w:t>
            </w:r>
          </w:p>
        </w:tc>
        <w:tc>
          <w:tcPr/>
          <w:p>
            <w:pPr>
              <w:pStyle w:val="Compact"/>
            </w:pPr>
            <w:r>
              <w:t xml:space="preserve">Five forms; LLC of 2–50 members;</w:t>
            </w:r>
            <w:r>
              <w:t xml:space="preserve"> </w:t>
            </w:r>
            <w:r>
              <w:rPr>
                <w:b/>
                <w:bCs/>
              </w:rPr>
              <w:t xml:space="preserve">no minimum charter capital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ERC period</w:t>
            </w:r>
          </w:p>
        </w:tc>
        <w:tc>
          <w:tcPr/>
          <w:p>
            <w:pPr>
              <w:pStyle w:val="Compact"/>
            </w:pPr>
            <w:r>
              <w:t xml:space="preserve">Same Law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working days</w:t>
            </w:r>
            <w:r>
              <w:t xml:space="preserve"> </w:t>
            </w:r>
            <w:r>
              <w:t xml:space="preserve">from receipt; written notice required where the dossier is invalid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Residence of the legal representative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12.3</w:t>
            </w:r>
            <w:r>
              <w:t xml:space="preserve">, same Law</w:t>
            </w:r>
          </w:p>
        </w:tc>
        <w:tc>
          <w:tcPr/>
          <w:p>
            <w:pPr>
              <w:pStyle w:val="Compact"/>
            </w:pPr>
            <w:r>
              <w:t xml:space="preserve">At least one legal representative must reside in Vietnam; where only one remains, written authorisation is required before departure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38, Investment Law No. 61/2020/QH14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days</w:t>
            </w:r>
            <w:r>
              <w:t xml:space="preserve"> </w:t>
            </w:r>
            <w:r>
              <w:t xml:space="preserve">for projects not requiring in-principle approval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Circular No. 47/2019/TT-BTC</w:t>
            </w:r>
          </w:p>
        </w:tc>
        <w:tc>
          <w:tcPr/>
          <w:p>
            <w:pPr>
              <w:pStyle w:val="Compact"/>
            </w:pPr>
            <w:r>
              <w:t xml:space="preserve">VND 50,000 / VND 100,000; online filing exempts the registration fee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Receiving authority</w:t>
            </w:r>
          </w:p>
        </w:tc>
        <w:tc>
          <w:tcPr/>
          <w:p>
            <w:pPr>
              <w:pStyle w:val="Compact"/>
            </w:pPr>
            <w:r>
              <w:t xml:space="preserve">2025 administrative reform</w:t>
            </w:r>
          </w:p>
        </w:tc>
        <w:tc>
          <w:tcPr/>
          <w:p>
            <w:pPr>
              <w:pStyle w:val="Compact"/>
            </w:pPr>
            <w:r>
              <w:t xml:space="preserve">Department of Planning and Investment merged into the Department of Finance; handled by its</w:t>
            </w:r>
            <w:r>
              <w:t xml:space="preserve"> </w:t>
            </w:r>
            <w:r>
              <w:rPr>
                <w:b/>
                <w:bCs/>
              </w:rPr>
              <w:t xml:space="preserve">Business Registration and Corporate Finance Division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DICA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Circular No. 06/2019/TT-NHNN</w:t>
            </w:r>
          </w:p>
        </w:tc>
        <w:tc>
          <w:tcPr/>
          <w:p>
            <w:pPr>
              <w:pStyle w:val="Compact"/>
            </w:pPr>
            <w:r>
              <w:t xml:space="preserve">Mandatory for FDI enterprises and foreign investors; foreign currency or VND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Initial tax declaration</w:t>
            </w:r>
          </w:p>
        </w:tc>
        <w:tc>
          <w:tcPr/>
          <w:p>
            <w:pPr>
              <w:pStyle w:val="Compact"/>
            </w:pPr>
            <w:r>
              <w:t xml:space="preserve">Tax administration rules</w:t>
            </w:r>
          </w:p>
        </w:tc>
        <w:tc>
          <w:tcPr/>
          <w:p>
            <w:pPr>
              <w:pStyle w:val="Compact"/>
            </w:pPr>
            <w:r>
              <w:t xml:space="preserve">Within</w:t>
            </w:r>
            <w:r>
              <w:t xml:space="preserve"> </w:t>
            </w:r>
            <w:r>
              <w:rPr>
                <w:b/>
                <w:bCs/>
              </w:rPr>
              <w:t xml:space="preserve">10 days</w:t>
            </w:r>
            <w:r>
              <w:t xml:space="preserve"> </w:t>
            </w:r>
            <w:r>
              <w:t xml:space="preserve">of ERC issuance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Abolition of the business licence fee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10, Resolution No. 198/2025/QH15</w:t>
            </w:r>
          </w:p>
        </w:tc>
        <w:tc>
          <w:tcPr/>
          <w:p>
            <w:pPr>
              <w:pStyle w:val="Compact"/>
            </w:pPr>
            <w:r>
              <w:t xml:space="preserve">Collection ceased 1 January 2026</w:t>
            </w:r>
          </w:p>
        </w:tc>
      </w:tr>
    </w:tbl>
    <w:p>
      <w:pPr>
        <w:pStyle w:val="BodyText"/>
      </w:pPr>
      <w:r>
        <w:rPr>
          <w:b/>
          <w:bCs/>
        </w:rPr>
        <w:t xml:space="preserve">Legal verification date</w:t>
      </w:r>
      <w:r>
        <w:t xml:space="preserve">: 18 September 2026.</w:t>
      </w:r>
    </w:p>
    <w:p>
      <w:r>
        <w:pict>
          <v:rect style="width:0;height:1.5pt" o:hralign="center" o:hrstd="t" o:hr="t"/>
        </w:pict>
      </w:r>
    </w:p>
    <w:bookmarkEnd w:id="17"/>
    <w:bookmarkStart w:id="18" w:name="ix.-how-to-use-this-guide-and-its-limits"/>
    <w:p>
      <w:pPr>
        <w:pStyle w:val="Heading2"/>
      </w:pPr>
      <w:r>
        <w:t xml:space="preserve">IX. How to Use This Guide, and Its Limits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This is general reference material and does not constitute legal advice or tax advice.</w:t>
      </w:r>
      <w:r>
        <w:t xml:space="preserve"> </w:t>
      </w:r>
      <w:r>
        <w:t xml:space="preserve">Procedures differ with the sector, the investor’s status and the contribution structure;</w:t>
      </w:r>
      <w:r>
        <w:t xml:space="preserve"> </w:t>
      </w:r>
      <w:r>
        <w:t xml:space="preserve">act on the advice of a Vietnamese-qualified lawyer.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Keep statutory periods and real-world timings apart.</w:t>
      </w:r>
      <w:r>
        <w:t xml:space="preserve"> </w:t>
      </w:r>
      <w:r>
        <w:t xml:space="preserve">They are set out separately here;</w:t>
      </w:r>
      <w:r>
        <w:t xml:space="preserve"> </w:t>
      </w:r>
      <w:r>
        <w:t xml:space="preserve">do not cite an estimate as a period enforceable against the authority.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What this guide deliberately omits</w:t>
      </w:r>
      <w:r>
        <w:t xml:space="preserve">: the schedule of market-access conditions and</w:t>
      </w:r>
      <w:r>
        <w:t xml:space="preserve"> </w:t>
      </w:r>
      <w:r>
        <w:t xml:space="preserve">shareholding caps by sector; minimum charter capital for conditional business lines; and</w:t>
      </w:r>
      <w:r>
        <w:t xml:space="preserve"> </w:t>
      </w:r>
      <w:r>
        <w:t xml:space="preserve">any mandatory requirement as to the currency of contributions. These must be checked</w:t>
      </w:r>
      <w:r>
        <w:t xml:space="preserve"> </w:t>
      </w:r>
      <w:r>
        <w:t xml:space="preserve">sector by sector against the current treaties and instruments;</w:t>
      </w:r>
      <w:r>
        <w:t xml:space="preserve"> </w:t>
      </w:r>
      <w:r>
        <w:rPr>
          <w:b/>
          <w:bCs/>
        </w:rPr>
        <w:t xml:space="preserve">what could not be verified</w:t>
      </w:r>
      <w:r>
        <w:rPr>
          <w:b/>
          <w:bCs/>
        </w:rPr>
        <w:t xml:space="preserve"> </w:t>
      </w:r>
      <w:r>
        <w:rPr>
          <w:b/>
          <w:bCs/>
        </w:rPr>
        <w:t xml:space="preserve">is left out</w:t>
      </w:r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These rules are time-sensitive.</w:t>
      </w:r>
      <w:r>
        <w:t xml:space="preserve"> </w:t>
      </w:r>
      <w:r>
        <w:t xml:space="preserve">Vietnam’s administrative machinery and tax regime were</w:t>
      </w:r>
      <w:r>
        <w:t xml:space="preserve"> </w:t>
      </w:r>
      <w:r>
        <w:t xml:space="preserve">adjusted frequently across 2025–2026.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This guide contains no information relating to any particular company.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s://dichvucong.gdt.gov.vn/tthc/homelog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dichvucong.gdt.gov.vn/tthc/homelog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Setting Up a Company in Vietnam — The Full Procedure (2026 Edition)</dc:title>
  <dc:creator/>
  <dc:language>en</dc:language>
  <cp:keywords/>
  <dcterms:created xsi:type="dcterms:W3CDTF">2026-10-31T05:14:33Z</dcterms:created>
  <dcterms:modified xsi:type="dcterms:W3CDTF">2026-10-31T05:14:33Z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