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Quy trình thành lập doanh nghiệp tại Việt Nam (Bản 2026)</w:t>
      </w:r>
    </w:p>
    <w:bookmarkStart w:id="19" w:name="X3ac405f841b637d7a71584988954c775f461e51"/>
    <w:p>
      <w:pPr>
        <w:pStyle w:val="Heading1"/>
      </w:pPr>
      <w:r>
        <w:t xml:space="preserve">QUY TRÌNH THÀNH LẬP DOANH NGHIỆP TẠI VIỆT NAM</w:t>
      </w:r>
    </w:p>
    <w:p>
      <w:pPr>
        <w:pStyle w:val="FirstParagraph"/>
      </w:pPr>
      <w:r>
        <w:rPr>
          <w:b/>
          <w:bCs/>
        </w:rPr>
        <w:t xml:space="preserve">Bản 2026</w:t>
      </w:r>
    </w:p>
    <w:p>
      <w:pPr>
        <w:pStyle w:val="BodyText"/>
      </w:pPr>
      <w:r>
        <w:rPr>
          <w:b/>
          <w:bCs/>
        </w:rPr>
        <w:t xml:space="preserve">Ngày rà soát quy định pháp luật: 18/09/2026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Trước hết hãy xác định bạn đi theo tuyến nào — điều này quyết định thời gian và khối lượng hồ sơ.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Nhà đầu tư trong nước</w:t>
            </w:r>
          </w:p>
        </w:tc>
        <w:tc>
          <w:tcPr/>
          <w:p>
            <w:pPr>
              <w:pStyle w:val="Compact"/>
            </w:pPr>
            <w:r>
              <w:t xml:space="preserve">Nhà đầu tư nước ngoài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Giấy tờ cần có</w:t>
            </w:r>
          </w:p>
        </w:tc>
        <w:tc>
          <w:tcPr/>
          <w:p>
            <w:pPr>
              <w:pStyle w:val="Compact"/>
            </w:pPr>
            <w:r>
              <w:t xml:space="preserve">Chỉ cần</w:t>
            </w:r>
            <w:r>
              <w:t xml:space="preserve"> </w:t>
            </w:r>
            <w:r>
              <w:rPr>
                <w:b/>
                <w:bCs/>
              </w:rPr>
              <w:t xml:space="preserve">ERC</w:t>
            </w:r>
            <w:r>
              <w:t xml:space="preserve"> </w:t>
            </w:r>
            <w:r>
              <w:t xml:space="preserve">(Giấy chứng nhận đăng ký doanh nghiệp)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IRC trước → rồi mới ERC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Thời hạn luật định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03 ngày làm việc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ngày</w:t>
            </w:r>
            <w:r>
              <w:t xml:space="preserve"> </w:t>
            </w:r>
            <w:r>
              <w:t xml:space="preserve">(IRC)</w:t>
            </w:r>
            <w:r>
              <w:t xml:space="preserve"> </w:t>
            </w:r>
            <w:r>
              <w:rPr>
                <w:b/>
                <w:bCs/>
              </w:rPr>
              <w:t xml:space="preserve">+ 03 ngày làm việc</w:t>
            </w:r>
            <w:r>
              <w:t xml:space="preserve"> </w:t>
            </w:r>
            <w:r>
              <w:t xml:space="preserve">(ERC)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Thời gian thực tế tham khảo</w:t>
            </w:r>
          </w:p>
        </w:tc>
        <w:tc>
          <w:tcPr/>
          <w:p>
            <w:pPr>
              <w:pStyle w:val="Compact"/>
            </w:pPr>
            <w:r>
              <w:t xml:space="preserve">Khoảng 5–7 ngày làm việc</w:t>
            </w:r>
          </w:p>
        </w:tc>
        <w:tc>
          <w:tcPr/>
          <w:p>
            <w:pPr>
              <w:pStyle w:val="Compact"/>
            </w:pPr>
            <w:r>
              <w:t xml:space="preserve">Khoảng 30–45 ngày làm việc (gồm cả hợp pháp hóa lãnh sự)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Tài khoản góp vốn</w:t>
            </w:r>
          </w:p>
        </w:tc>
        <w:tc>
          <w:tcPr/>
          <w:p>
            <w:pPr>
              <w:pStyle w:val="Compact"/>
            </w:pPr>
            <w:r>
              <w:t xml:space="preserve">Không yêu cầu đặc biệt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Bắt buộc</w:t>
            </w:r>
            <w:r>
              <w:t xml:space="preserve"> </w:t>
            </w:r>
            <w:r>
              <w:t xml:space="preserve">qua tài khoản vốn đầu tư trực tiếp (DICA)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Hồ sơ</w:t>
            </w:r>
          </w:p>
        </w:tc>
        <w:tc>
          <w:tcPr/>
          <w:p>
            <w:pPr>
              <w:pStyle w:val="Compact"/>
            </w:pPr>
            <w:r>
              <w:t xml:space="preserve">Bản sao có chứng thực</w:t>
            </w:r>
          </w:p>
        </w:tc>
        <w:tc>
          <w:tcPr/>
          <w:p>
            <w:pPr>
              <w:pStyle w:val="Compact"/>
            </w:pPr>
            <w:r>
              <w:t xml:space="preserve">Phải</w:t>
            </w:r>
            <w:r>
              <w:t xml:space="preserve"> </w:t>
            </w:r>
            <w:r>
              <w:rPr>
                <w:b/>
                <w:bCs/>
              </w:rPr>
              <w:t xml:space="preserve">hợp pháp hóa lãnh sự + dịch công chứng sang tiếng Việt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Thời hạn luật định và thời gian thực tế là hai chuyện khác nhau.</w:t>
      </w:r>
      <w:r>
        <w:t xml:space="preserve"> </w:t>
      </w:r>
      <w:r>
        <w:t xml:space="preserve">Thời hạn luật định</w:t>
      </w:r>
      <w:r>
        <w:t xml:space="preserve"> </w:t>
      </w:r>
      <w:r>
        <w:t xml:space="preserve">được ghi trong văn bản pháp luật và cơ quan có thẩm quyền phải tuân thủ; thời gian thực tế</w:t>
      </w:r>
      <w:r>
        <w:t xml:space="preserve"> </w:t>
      </w:r>
      <w:r>
        <w:t xml:space="preserve">phụ thuộc khối lượng hồ sơ từng tỉnh/thành và yêu cầu bổ sung,</w:t>
      </w:r>
      <w:r>
        <w:t xml:space="preserve"> </w:t>
      </w:r>
      <w:r>
        <w:rPr>
          <w:b/>
          <w:bCs/>
        </w:rPr>
        <w:t xml:space="preserve">không phải quyền có thể</w:t>
      </w:r>
      <w:r>
        <w:rPr>
          <w:b/>
          <w:bCs/>
        </w:rPr>
        <w:t xml:space="preserve"> </w:t>
      </w:r>
      <w:r>
        <w:rPr>
          <w:b/>
          <w:bCs/>
        </w:rPr>
        <w:t xml:space="preserve">yêu cầu cơ quan thực hiện</w:t>
      </w:r>
      <w:r>
        <w:t xml:space="preserve">. Việc hợp pháp hóa lãnh sự và dịch công chứng diễn ra</w:t>
      </w:r>
      <w:r>
        <w:t xml:space="preserve"> </w:t>
      </w:r>
      <w:r>
        <w:rPr>
          <w:b/>
          <w:bCs/>
        </w:rPr>
        <w:t xml:space="preserve">trước khi nộp hồ sơ</w:t>
      </w:r>
      <w:r>
        <w:t xml:space="preserve">, không nằm trong thời hạn luật định — khi lập kế hoạch phải tính riêng.</w:t>
      </w:r>
    </w:p>
    <w:p>
      <w:r>
        <w:pict>
          <v:rect style="width:0;height:1.5pt" o:hralign="center" o:hrstd="t" o:hr="t"/>
        </w:pict>
      </w:r>
    </w:p>
    <w:bookmarkStart w:id="9" w:name="X453abfbd81866b3b815ffe52b2e156f74bbaf70"/>
    <w:p>
      <w:pPr>
        <w:pStyle w:val="Heading2"/>
      </w:pPr>
      <w:r>
        <w:t xml:space="preserve">I. Bước đầu tiên: chọn loại hình doanh nghiệp</w:t>
      </w:r>
    </w:p>
    <w:p>
      <w:pPr>
        <w:pStyle w:val="FirstParagraph"/>
      </w:pPr>
      <w:r>
        <w:t xml:space="preserve">Văn bản hiện hành là</w:t>
      </w:r>
      <w:r>
        <w:t xml:space="preserve"> </w:t>
      </w:r>
      <w:r>
        <w:rPr>
          <w:b/>
          <w:bCs/>
        </w:rPr>
        <w:t xml:space="preserve">Luật Doanh nghiệp số 59/2020/QH14</w:t>
      </w:r>
      <w:r>
        <w:t xml:space="preserve">, quy định</w:t>
      </w:r>
      <w:r>
        <w:t xml:space="preserve"> </w:t>
      </w:r>
      <w:r>
        <w:rPr>
          <w:b/>
          <w:bCs/>
        </w:rPr>
        <w:t xml:space="preserve">năm</w:t>
      </w:r>
      <w:r>
        <w:t xml:space="preserve"> </w:t>
      </w:r>
      <w:r>
        <w:t xml:space="preserve">loại hình: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Loại hình</w:t>
            </w:r>
          </w:p>
        </w:tc>
        <w:tc>
          <w:tcPr/>
          <w:p>
            <w:pPr>
              <w:pStyle w:val="Compact"/>
            </w:pPr>
            <w:r>
              <w:t xml:space="preserve">Thành viên / cổ đông</w:t>
            </w:r>
          </w:p>
        </w:tc>
        <w:tc>
          <w:tcPr/>
          <w:p>
            <w:pPr>
              <w:pStyle w:val="Compact"/>
            </w:pPr>
            <w:r>
              <w:t xml:space="preserve">Phạm vi trách nhiệm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Công ty TNHH một thành viên</w:t>
            </w:r>
          </w:p>
        </w:tc>
        <w:tc>
          <w:tcPr/>
          <w:p>
            <w:pPr>
              <w:pStyle w:val="Compact"/>
            </w:pPr>
            <w:r>
              <w:t xml:space="preserve">1 tổ chức hoặc 1 cá nhân</w:t>
            </w:r>
          </w:p>
        </w:tc>
        <w:tc>
          <w:tcPr/>
          <w:p>
            <w:pPr>
              <w:pStyle w:val="Compact"/>
            </w:pPr>
            <w:r>
              <w:t xml:space="preserve">Chủ sở hữu chịu trách nhiệm trong phạm vi</w:t>
            </w:r>
            <w:r>
              <w:t xml:space="preserve"> </w:t>
            </w:r>
            <w:r>
              <w:rPr>
                <w:b/>
                <w:bCs/>
              </w:rPr>
              <w:t xml:space="preserve">vốn điều lệ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Công ty TNHH hai thành viên trở lên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02 đến 50</w:t>
            </w:r>
            <w:r>
              <w:t xml:space="preserve"> </w:t>
            </w:r>
            <w:r>
              <w:t xml:space="preserve">thành viên (cá nhân / tổ chức / cả hai)</w:t>
            </w:r>
          </w:p>
        </w:tc>
        <w:tc>
          <w:tcPr/>
          <w:p>
            <w:pPr>
              <w:pStyle w:val="Compact"/>
            </w:pPr>
            <w:r>
              <w:t xml:space="preserve">Mỗi thành viên chịu trách nhiệm trong phạm vi</w:t>
            </w:r>
            <w:r>
              <w:t xml:space="preserve"> </w:t>
            </w:r>
            <w:r>
              <w:rPr>
                <w:b/>
                <w:bCs/>
              </w:rPr>
              <w:t xml:space="preserve">số vốn đã góp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Công ty cổ phần</w:t>
            </w:r>
          </w:p>
        </w:tc>
        <w:tc>
          <w:tcPr/>
          <w:p>
            <w:pPr>
              <w:pStyle w:val="Compact"/>
            </w:pPr>
            <w:r>
              <w:t xml:space="preserve">Vốn điều lệ chia thành các cổ phần bằng nhau</w:t>
            </w:r>
          </w:p>
        </w:tc>
        <w:tc>
          <w:tcPr/>
          <w:p>
            <w:pPr>
              <w:pStyle w:val="Compact"/>
            </w:pPr>
            <w:r>
              <w:t xml:space="preserve">Cổ đông chịu trách nhiệm trong phạm vi cổ phần sở hữu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Công ty hợp danh</w:t>
            </w:r>
          </w:p>
        </w:tc>
        <w:tc>
          <w:tcPr/>
          <w:p>
            <w:pPr>
              <w:pStyle w:val="Compact"/>
            </w:pPr>
            <w:r>
              <w:t xml:space="preserve">Ít nhất hai thành viên hợp danh</w:t>
            </w:r>
          </w:p>
        </w:tc>
        <w:tc>
          <w:tcPr/>
          <w:p>
            <w:pPr>
              <w:pStyle w:val="Compact"/>
            </w:pPr>
            <w:r>
              <w:t xml:space="preserve">Thành viên hợp danh chịu trách nhiệm liên đới vô hạn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Doanh nghiệp tư nhân</w:t>
            </w:r>
          </w:p>
        </w:tc>
        <w:tc>
          <w:tcPr/>
          <w:p>
            <w:pPr>
              <w:pStyle w:val="Compact"/>
            </w:pPr>
            <w:r>
              <w:t xml:space="preserve">01 cá nhân</w:t>
            </w:r>
          </w:p>
        </w:tc>
        <w:tc>
          <w:tcPr/>
          <w:p>
            <w:pPr>
              <w:pStyle w:val="Compact"/>
            </w:pPr>
            <w:r>
              <w:t xml:space="preserve">Chịu trách nhiệm bằng</w:t>
            </w:r>
            <w:r>
              <w:t xml:space="preserve"> </w:t>
            </w:r>
            <w:r>
              <w:rPr>
                <w:b/>
                <w:bCs/>
              </w:rPr>
              <w:t xml:space="preserve">toàn bộ tài sản cá nhân</w:t>
            </w:r>
          </w:p>
        </w:tc>
      </w:tr>
    </w:tbl>
    <w:p>
      <w:pPr>
        <w:pStyle w:val="BlockText"/>
      </w:pPr>
      <w:r>
        <w:rPr>
          <w:b/>
          <w:bCs/>
        </w:rPr>
        <w:t xml:space="preserve">Nhà đầu tư nước ngoài dùng nhiều nhất là hai loại đầu.</w:t>
      </w:r>
      <w:r>
        <w:t xml:space="preserve"> </w:t>
      </w:r>
      <w:r>
        <w:t xml:space="preserve">Công ty TNHH một thành viên</w:t>
      </w:r>
      <w:r>
        <w:t xml:space="preserve"> </w:t>
      </w:r>
      <w:r>
        <w:t xml:space="preserve">có cấu trúc đơn giản nhất (một chủ sở hữu nước ngoài); TNHH hai thành viên trở lên</w:t>
      </w:r>
      <w:r>
        <w:t xml:space="preserve"> </w:t>
      </w:r>
      <w:r>
        <w:t xml:space="preserve">phù hợp liên doanh hoặc nhiều bên góp vốn. Công ty cổ phần linh hoạt hơn khi huy động vốn</w:t>
      </w:r>
      <w:r>
        <w:t xml:space="preserve"> </w:t>
      </w:r>
      <w:r>
        <w:t xml:space="preserve">và chuyển nhượng, nhưng yêu cầu quản trị và công bố thông tin nặng hơn.</w:t>
      </w:r>
      <w:r>
        <w:t xml:space="preserve"> </w:t>
      </w:r>
      <w:r>
        <w:rPr>
          <w:b/>
          <w:bCs/>
        </w:rPr>
        <w:t xml:space="preserve">Chọn loại hình nên cân nhắc cùng phương án thoái vốn; đổi loại hình sau khi thành lập</w:t>
      </w:r>
      <w:r>
        <w:rPr>
          <w:b/>
          <w:bCs/>
        </w:rPr>
        <w:t xml:space="preserve"> </w:t>
      </w:r>
      <w:r>
        <w:rPr>
          <w:b/>
          <w:bCs/>
        </w:rPr>
        <w:t xml:space="preserve">phải làm thủ tục riêng.</w:t>
      </w:r>
    </w:p>
    <w:bookmarkEnd w:id="9"/>
    <w:bookmarkStart w:id="10" w:name="ii.-vốn-điều-lệ"/>
    <w:p>
      <w:pPr>
        <w:pStyle w:val="Heading2"/>
      </w:pPr>
      <w:r>
        <w:t xml:space="preserve">II. Vốn điều lệ</w:t>
      </w:r>
    </w:p>
    <w:p>
      <w:pPr>
        <w:pStyle w:val="FirstParagraph"/>
      </w:pPr>
      <w:r>
        <w:rPr>
          <w:b/>
          <w:bCs/>
        </w:rPr>
        <w:t xml:space="preserve">Luật Doanh nghiệp 2020 không quy định mức vốn điều lệ tối thiểu cho bất kỳ loại hình nào.</w:t>
      </w:r>
    </w:p>
    <w:p>
      <w:pPr>
        <w:pStyle w:val="Compact"/>
        <w:numPr>
          <w:ilvl w:val="0"/>
          <w:numId w:val="1001"/>
        </w:numPr>
      </w:pPr>
      <w:r>
        <w:t xml:space="preserve">Vốn điều lệ của công ty TNHH = tổng giá trị phần vốn góp các thành viên</w:t>
      </w:r>
      <w:r>
        <w:t xml:space="preserve"> </w:t>
      </w:r>
      <w:r>
        <w:rPr>
          <w:b/>
          <w:bCs/>
        </w:rPr>
        <w:t xml:space="preserve">cam kết góp</w:t>
      </w:r>
      <w:r>
        <w:t xml:space="preserve"> </w:t>
      </w:r>
      <w:r>
        <w:t xml:space="preserve">và ghi trong điều lệ công ty.</w:t>
      </w:r>
    </w:p>
    <w:p>
      <w:pPr>
        <w:pStyle w:val="Compact"/>
        <w:numPr>
          <w:ilvl w:val="0"/>
          <w:numId w:val="1001"/>
        </w:numPr>
      </w:pPr>
      <w:r>
        <w:t xml:space="preserve">Ngoại lệ:</w:t>
      </w:r>
      <w:r>
        <w:t xml:space="preserve"> </w:t>
      </w:r>
      <w:r>
        <w:rPr>
          <w:b/>
          <w:bCs/>
        </w:rPr>
        <w:t xml:space="preserve">ngành, nghề đầu tư kinh doanh có điều kiện</w:t>
      </w:r>
      <w:r>
        <w:t xml:space="preserve"> </w:t>
      </w:r>
      <w:r>
        <w:t xml:space="preserve">có quy định riêng</w:t>
      </w:r>
      <w:r>
        <w:t xml:space="preserve"> </w:t>
      </w:r>
      <w:r>
        <w:t xml:space="preserve">(ngân hàng, bảo hiểm, kinh doanh bất động sản, cho thuê lại lao động…).</w:t>
      </w:r>
    </w:p>
    <w:p>
      <w:pPr>
        <w:pStyle w:val="BlockText"/>
      </w:pPr>
      <w:r>
        <w:rPr>
          <w:b/>
          <w:bCs/>
        </w:rPr>
        <w:t xml:space="preserve">Nhưng</w:t>
      </w:r>
      <w:r>
        <w:rPr>
          <w:b/>
          <w:bCs/>
        </w:rPr>
        <w:t xml:space="preserve"> </w:t>
      </w:r>
      <w:r>
        <w:rPr>
          <w:b/>
          <w:bCs/>
        </w:rPr>
        <w:t xml:space="preserve">“không có mức sàn luật định”</w:t>
      </w:r>
      <w:r>
        <w:rPr>
          <w:b/>
          <w:bCs/>
        </w:rPr>
        <w:t xml:space="preserve"> </w:t>
      </w:r>
      <w:r>
        <w:rPr>
          <w:b/>
          <w:bCs/>
        </w:rPr>
        <w:t xml:space="preserve">không có nghĩa là điền tùy ý.</w:t>
      </w:r>
      <w:r>
        <w:t xml:space="preserve"> </w:t>
      </w:r>
      <w:r>
        <w:t xml:space="preserve">Vốn điều lệ được</w:t>
      </w:r>
      <w:r>
        <w:t xml:space="preserve"> </w:t>
      </w:r>
      <w:r>
        <w:t xml:space="preserve">cơ quan quản lý và đối tác dùng để đánh giá năng lực thực hiện; với dự án FDI còn được</w:t>
      </w:r>
      <w:r>
        <w:t xml:space="preserve"> </w:t>
      </w:r>
      <w:r>
        <w:t xml:space="preserve">đối chiếu với tổng vốn đầu tư ghi trên IRC. Ghi quá thấp có thể ảnh hưởng đến việc</w:t>
      </w:r>
      <w:r>
        <w:t xml:space="preserve"> </w:t>
      </w:r>
      <w:r>
        <w:t xml:space="preserve">chấp thuận tiếp cận ngành nghề, hạn ngạch thị thực và việc mở tài khoản ngân hàng;</w:t>
      </w:r>
      <w:r>
        <w:t xml:space="preserve"> </w:t>
      </w:r>
      <w:r>
        <w:t xml:space="preserve">ghi quá cao thì phải góp đủ trong thời hạn cam kết.</w:t>
      </w:r>
    </w:p>
    <w:p>
      <w:pPr>
        <w:pStyle w:val="BlockText"/>
      </w:pPr>
      <w:r>
        <w:rPr>
          <w:b/>
          <w:bCs/>
        </w:rPr>
        <w:t xml:space="preserve">Lưu ý với nhà đầu tư nước ngoài</w:t>
      </w:r>
      <w:r>
        <w:t xml:space="preserve">: việc góp vốn phải qua</w:t>
      </w:r>
      <w:r>
        <w:t xml:space="preserve"> </w:t>
      </w:r>
      <w:r>
        <w:rPr>
          <w:b/>
          <w:bCs/>
        </w:rPr>
        <w:t xml:space="preserve">DICA</w:t>
      </w:r>
      <w:r>
        <w:t xml:space="preserve"> </w:t>
      </w:r>
      <w:r>
        <w:t xml:space="preserve">(tài khoản vốn đầu tư trực tiếp, theo Thông tư 06/2019/TT-NHNN).</w:t>
      </w:r>
      <w:r>
        <w:t xml:space="preserve"> </w:t>
      </w:r>
      <w:r>
        <w:t xml:space="preserve">Tài khoản này</w:t>
      </w:r>
      <w:r>
        <w:t xml:space="preserve"> </w:t>
      </w:r>
      <w:r>
        <w:rPr>
          <w:b/>
          <w:bCs/>
        </w:rPr>
        <w:t xml:space="preserve">có thể bằng ngoại tệ, cũng có thể bằng đồng Việt Nam</w:t>
      </w:r>
      <w:r>
        <w:t xml:space="preserve">.</w:t>
      </w:r>
      <w:r>
        <w:t xml:space="preserve"> </w:t>
      </w:r>
      <w:r>
        <w:t xml:space="preserve">Loại tiền góp vốn cụ thể vui lòng xác nhận với ngân hàng mở tài khoản và chuyên gia tư vấn —</w:t>
      </w:r>
      <w:r>
        <w:t xml:space="preserve"> </w:t>
      </w:r>
      <w:r>
        <w:t xml:space="preserve">tài liệu tiếng Trung lưu hành thường ghi</w:t>
      </w:r>
      <w:r>
        <w:t xml:space="preserve"> </w:t>
      </w:r>
      <w:r>
        <w:t xml:space="preserve">“bắt buộc ngoại tệ”</w:t>
      </w:r>
      <w:r>
        <w:t xml:space="preserve">, có độ vênh với thông tư này,</w:t>
      </w:r>
      <w:r>
        <w:t xml:space="preserve"> </w:t>
      </w:r>
      <w:r>
        <w:t xml:space="preserve">và bản hướng dẫn này không chép lại nội dung chưa kiểm chứng.</w:t>
      </w:r>
    </w:p>
    <w:bookmarkEnd w:id="10"/>
    <w:bookmarkStart w:id="11" w:name="iii.-người-đại-diện-theo-pháp-luật"/>
    <w:p>
      <w:pPr>
        <w:pStyle w:val="Heading2"/>
      </w:pPr>
      <w:r>
        <w:t xml:space="preserve">III. Người đại diện theo pháp luật</w:t>
      </w:r>
    </w:p>
    <w:p>
      <w:pPr>
        <w:pStyle w:val="FirstParagraph"/>
      </w:pPr>
      <w:r>
        <w:rPr>
          <w:b/>
          <w:bCs/>
        </w:rPr>
        <w:t xml:space="preserve">Khoản 3 Điều 12 Luật Doanh nghiệp 2020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Doanh nghiệp</w:t>
      </w:r>
      <w:r>
        <w:t xml:space="preserve"> </w:t>
      </w:r>
      <w:r>
        <w:rPr>
          <w:b/>
          <w:bCs/>
        </w:rPr>
        <w:t xml:space="preserve">phải bảo đảm luôn có ít nhất một người đại diện theo pháp luật cư trú tại Việt Nam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Khi chỉ còn lại một người đại diện theo pháp luật cư trú tại Việt Nam, người này</w:t>
      </w:r>
      <w:r>
        <w:t xml:space="preserve"> </w:t>
      </w:r>
      <w:r>
        <w:rPr>
          <w:b/>
          <w:bCs/>
        </w:rPr>
        <w:t xml:space="preserve">khi xuất cảnh phải ủy quyền bằng văn bản</w:t>
      </w:r>
      <w:r>
        <w:t xml:space="preserve"> </w:t>
      </w:r>
      <w:r>
        <w:t xml:space="preserve">cho cá nhân khác cư trú tại Việt Nam</w:t>
      </w:r>
      <w:r>
        <w:t xml:space="preserve"> </w:t>
      </w:r>
      <w:r>
        <w:t xml:space="preserve">thực hiện quyền và nghĩa vụ của người đại diện theo pháp luật.</w:t>
      </w:r>
    </w:p>
    <w:p>
      <w:pPr>
        <w:pStyle w:val="FirstParagraph"/>
      </w:pPr>
      <w:r>
        <w:rPr>
          <w:b/>
          <w:bCs/>
        </w:rPr>
        <w:t xml:space="preserve">Người đại diện theo pháp luật không bắt buộc phải là người Việt Nam</w:t>
      </w:r>
      <w:r>
        <w:t xml:space="preserve">, chỉ cần cư trú hợp pháp tại Việt Nam.</w:t>
      </w:r>
    </w:p>
    <w:p>
      <w:pPr>
        <w:pStyle w:val="BlockText"/>
      </w:pPr>
      <w:r>
        <w:rPr>
          <w:b/>
          <w:bCs/>
        </w:rPr>
        <w:t xml:space="preserve">Đây là điểm vướng thực tế phổ biến nhất của doanh nghiệp Trung Quốc.</w:t>
      </w:r>
      <w:r>
        <w:t xml:space="preserve"> </w:t>
      </w:r>
      <w:r>
        <w:t xml:space="preserve">Người đại diện</w:t>
      </w:r>
      <w:r>
        <w:t xml:space="preserve"> </w:t>
      </w:r>
      <w:r>
        <w:t xml:space="preserve">theo pháp luật vắng mặt dài ngày mà không để lại văn bản ủy quyền thì khi doanh nghiệp</w:t>
      </w:r>
      <w:r>
        <w:t xml:space="preserve"> </w:t>
      </w:r>
      <w:r>
        <w:t xml:space="preserve">cần ký hoặc xác nhận với cơ quan nhà nước, ngân hàng, đối tác, mọi việc sẽ dừng lại.</w:t>
      </w:r>
      <w:r>
        <w:t xml:space="preserve"> </w:t>
      </w:r>
      <w:r>
        <w:t xml:space="preserve">Ngay khi thành lập nên sắp xếp rõ: ai thường trú, xuất cảnh thì ủy quyền cho ai,</w:t>
      </w:r>
      <w:r>
        <w:t xml:space="preserve"> </w:t>
      </w:r>
      <w:r>
        <w:t xml:space="preserve">văn bản ủy quyền để ở đâu.</w:t>
      </w:r>
    </w:p>
    <w:bookmarkEnd w:id="11"/>
    <w:bookmarkStart w:id="12" w:name="Xf637054abc5f5738a4ab9f538e29abd21914a35"/>
    <w:p>
      <w:pPr>
        <w:pStyle w:val="Heading2"/>
      </w:pPr>
      <w:r>
        <w:t xml:space="preserve">IV. Bước tiền đề với nhà đầu tư nước ngoài: Giấy chứng nhận đăng ký đầu tư (IRC)</w:t>
      </w:r>
    </w:p>
    <w:p>
      <w:pPr>
        <w:pStyle w:val="FirstParagraph"/>
      </w:pPr>
      <w:r>
        <w:t xml:space="preserve">Theo</w:t>
      </w:r>
      <w:r>
        <w:t xml:space="preserve"> </w:t>
      </w:r>
      <w:r>
        <w:rPr>
          <w:b/>
          <w:bCs/>
        </w:rPr>
        <w:t xml:space="preserve">Điều 38 Luật Đầu tư số 61/2020/QH14</w:t>
      </w:r>
      <w:r>
        <w:t xml:space="preserve">, với dự án đầu tư</w:t>
      </w:r>
      <w:r>
        <w:t xml:space="preserve"> </w:t>
      </w:r>
      <w:r>
        <w:rPr>
          <w:b/>
          <w:bCs/>
        </w:rPr>
        <w:t xml:space="preserve">không thuộc diện</w:t>
      </w:r>
      <w:r>
        <w:rPr>
          <w:b/>
          <w:bCs/>
        </w:rPr>
        <w:t xml:space="preserve"> </w:t>
      </w:r>
      <w:r>
        <w:rPr>
          <w:b/>
          <w:bCs/>
        </w:rPr>
        <w:t xml:space="preserve">chấp thuận chủ trương đầu tư</w:t>
      </w:r>
      <w:r>
        <w:t xml:space="preserve">, cơ quan đăng ký đầu tư cấp IRC</w:t>
      </w:r>
      <w:r>
        <w:t xml:space="preserve"> </w:t>
      </w:r>
      <w:r>
        <w:rPr>
          <w:b/>
          <w:bCs/>
        </w:rPr>
        <w:t xml:space="preserve">trong thời hạn 15 ngày</w:t>
      </w:r>
      <w:r>
        <w:t xml:space="preserve"> </w:t>
      </w:r>
      <w:r>
        <w:t xml:space="preserve">kể từ ngày nhận được đề nghị của nhà đầu tư.</w:t>
      </w:r>
    </w:p>
    <w:p>
      <w:pPr>
        <w:pStyle w:val="BodyText"/>
      </w:pPr>
      <w:r>
        <w:rPr>
          <w:b/>
          <w:bCs/>
        </w:rPr>
        <w:t xml:space="preserve">Hồ sơ</w:t>
      </w:r>
      <w:r>
        <w:t xml:space="preserve"> </w:t>
      </w:r>
      <w:r>
        <w:t xml:space="preserve">(nhà đầu tư là tổ chức):</w:t>
      </w:r>
    </w:p>
    <w:p>
      <w:pPr>
        <w:pStyle w:val="Compact"/>
        <w:numPr>
          <w:ilvl w:val="0"/>
          <w:numId w:val="1003"/>
        </w:numPr>
      </w:pPr>
      <w:r>
        <w:t xml:space="preserve">Đề xuất dự án đầu tư;</w:t>
      </w:r>
    </w:p>
    <w:p>
      <w:pPr>
        <w:pStyle w:val="Compact"/>
        <w:numPr>
          <w:ilvl w:val="0"/>
          <w:numId w:val="1003"/>
        </w:numPr>
      </w:pPr>
      <w:r>
        <w:t xml:space="preserve">Báo cáo năng lực tài chính;</w:t>
      </w:r>
    </w:p>
    <w:p>
      <w:pPr>
        <w:pStyle w:val="Compact"/>
        <w:numPr>
          <w:ilvl w:val="0"/>
          <w:numId w:val="1003"/>
        </w:numPr>
      </w:pPr>
      <w:r>
        <w:t xml:space="preserve">Điều lệ công ty mẹ;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Báo cáo tài chính 02 năm gần nhất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Hộ chiếu hoặc giấy tờ tùy thân của người đại diện được ủy quyền / người đại diện theo pháp luật;</w:t>
      </w:r>
    </w:p>
    <w:p>
      <w:pPr>
        <w:pStyle w:val="Compact"/>
        <w:numPr>
          <w:ilvl w:val="0"/>
          <w:numId w:val="1003"/>
        </w:numPr>
      </w:pPr>
      <w:r>
        <w:t xml:space="preserve">Giấy phép kinh doanh của công ty mẹ;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Toàn bộ tài liệu phải hợp pháp hóa lãnh sự và dịch công chứng sang tiếng Việt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Tiếp cận ngành nghề</w:t>
      </w:r>
      <w:r>
        <w:t xml:space="preserve">: nếu ngành dự kiến kinh doanh có điều kiện tiếp cận thị trường</w:t>
      </w:r>
      <w:r>
        <w:t xml:space="preserve"> </w:t>
      </w:r>
      <w:r>
        <w:t xml:space="preserve">đối với nhà đầu tư nước ngoài (theo cam kết WTO, CPTPP hoặc Luật Đầu tư), có thể bị</w:t>
      </w:r>
      <w:r>
        <w:t xml:space="preserve"> </w:t>
      </w:r>
      <w:r>
        <w:t xml:space="preserve">hạn chế tỷ lệ góp vốn hoặc phải hoạt động dưới hình thức liên doanh.</w:t>
      </w:r>
      <w:r>
        <w:t xml:space="preserve"> </w:t>
      </w:r>
      <w:r>
        <w:rPr>
          <w:b/>
          <w:bCs/>
        </w:rPr>
        <w:t xml:space="preserve">Nội dung này cần xác nhận trước khi chọn địa điểm và ký kết</w:t>
      </w:r>
      <w:r>
        <w:t xml:space="preserve">, nếu không các khoản</w:t>
      </w:r>
      <w:r>
        <w:t xml:space="preserve"> </w:t>
      </w:r>
      <w:r>
        <w:t xml:space="preserve">đầu tư ban đầu có thể trở nên vô ích.</w:t>
      </w:r>
    </w:p>
    <w:bookmarkEnd w:id="12"/>
    <w:bookmarkStart w:id="13" w:name="v.-hồ-sơ-đăng-ký-doanh-nghiệp-erc"/>
    <w:p>
      <w:pPr>
        <w:pStyle w:val="Heading2"/>
      </w:pPr>
      <w:r>
        <w:t xml:space="preserve">V. Hồ sơ đăng ký doanh nghiệp (ERC)</w:t>
      </w:r>
    </w:p>
    <w:p>
      <w:pPr>
        <w:pStyle w:val="FirstParagraph"/>
      </w:pPr>
      <w:r>
        <w:rPr>
          <w:b/>
          <w:bCs/>
        </w:rPr>
        <w:t xml:space="preserve">Cơ quan tiếp nhận</w:t>
      </w:r>
      <w:r>
        <w:t xml:space="preserve">:</w:t>
      </w:r>
      <w:r>
        <w:t xml:space="preserve"> </w:t>
      </w:r>
      <w:r>
        <w:rPr>
          <w:b/>
          <w:bCs/>
        </w:rPr>
        <w:t xml:space="preserve">Phòng Đăng ký kinh doanh và Tài chính doanh nghiệp</w:t>
      </w:r>
      <w:r>
        <w:t xml:space="preserve"> </w:t>
      </w:r>
      <w:r>
        <w:t xml:space="preserve">thuộc</w:t>
      </w:r>
      <w:r>
        <w:t xml:space="preserve"> </w:t>
      </w:r>
      <w:r>
        <w:rPr>
          <w:b/>
          <w:bCs/>
        </w:rPr>
        <w:t xml:space="preserve">Sở Tài chính</w:t>
      </w:r>
      <w:r>
        <w:t xml:space="preserve"> </w:t>
      </w:r>
      <w:r>
        <w:t xml:space="preserve">tỉnh/thành phố.</w:t>
      </w:r>
    </w:p>
    <w:p>
      <w:pPr>
        <w:pStyle w:val="BlockText"/>
      </w:pPr>
      <w:r>
        <w:rPr>
          <w:b/>
          <w:bCs/>
        </w:rPr>
        <w:t xml:space="preserve">Tên cơ quan đã thay đổi</w:t>
      </w:r>
      <w:r>
        <w:t xml:space="preserve">:</w:t>
      </w:r>
      <w:r>
        <w:t xml:space="preserve"> </w:t>
      </w:r>
      <w:r>
        <w:rPr>
          <w:b/>
          <w:bCs/>
        </w:rPr>
        <w:t xml:space="preserve">Sở Kế hoạch và Đầu tư</w:t>
      </w:r>
      <w:r>
        <w:t xml:space="preserve"> </w:t>
      </w:r>
      <w:r>
        <w:t xml:space="preserve">đã hợp nhất vào Sở Tài chính.</w:t>
      </w:r>
      <w:r>
        <w:t xml:space="preserve"> </w:t>
      </w:r>
      <w:r>
        <w:t xml:space="preserve">Tài liệu tiếng Trung trước năm 2025 hầu hết vẫn ghi</w:t>
      </w:r>
      <w:r>
        <w:t xml:space="preserve"> </w:t>
      </w:r>
      <w:r>
        <w:t xml:space="preserve">“Sở Kế hoạch và Đầu tư”</w:t>
      </w:r>
      <w:r>
        <w:t xml:space="preserve">;</w:t>
      </w:r>
      <w:r>
        <w:t xml:space="preserve"> </w:t>
      </w:r>
      <w:r>
        <w:t xml:space="preserve">tìm theo tên cũ sẽ đến nhầm cơ quan.</w:t>
      </w:r>
    </w:p>
    <w:p>
      <w:pPr>
        <w:pStyle w:val="FirstParagraph"/>
      </w:pPr>
      <w:r>
        <w:rPr>
          <w:b/>
          <w:bCs/>
        </w:rPr>
        <w:t xml:space="preserve">Thời hạn luật định</w:t>
      </w:r>
      <w:r>
        <w:t xml:space="preserve">: Cơ quan đăng ký kinh doanh có trách nhiệm xem xét tính hợp lệ</w:t>
      </w:r>
      <w:r>
        <w:t xml:space="preserve"> </w:t>
      </w:r>
      <w:r>
        <w:t xml:space="preserve">của hồ sơ và cấp đăng ký</w:t>
      </w:r>
      <w:r>
        <w:t xml:space="preserve"> </w:t>
      </w:r>
      <w:r>
        <w:rPr>
          <w:b/>
          <w:bCs/>
        </w:rPr>
        <w:t xml:space="preserve">trong thời hạn 03 ngày làm việc</w:t>
      </w:r>
      <w:r>
        <w:t xml:space="preserve"> </w:t>
      </w:r>
      <w:r>
        <w:t xml:space="preserve">kể từ ngày nhận hồ sơ.</w:t>
      </w:r>
      <w:r>
        <w:t xml:space="preserve"> </w:t>
      </w:r>
      <w:r>
        <w:t xml:space="preserve">Trường hợp hồ sơ chưa hợp lệ, cơ quan đăng ký kinh doanh phải</w:t>
      </w:r>
      <w:r>
        <w:t xml:space="preserve"> </w:t>
      </w:r>
      <w:r>
        <w:rPr>
          <w:b/>
          <w:bCs/>
        </w:rPr>
        <w:t xml:space="preserve">thông báo bằng văn bản</w:t>
      </w:r>
      <w:r>
        <w:t xml:space="preserve"> </w:t>
      </w:r>
      <w:r>
        <w:t xml:space="preserve">nội dung cần sửa đổi, bổ sung. Đăng ký thay đổi nội dung ERC cũng là 03 ngày làm việc.</w:t>
      </w:r>
    </w:p>
    <w:p>
      <w:pPr>
        <w:pStyle w:val="BodyText"/>
      </w:pPr>
      <w:r>
        <w:rPr>
          <w:b/>
          <w:bCs/>
        </w:rPr>
        <w:t xml:space="preserve">Hồ sơ thường gồm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Giấy đề nghị đăng ký doanh nghiệp;</w:t>
      </w:r>
    </w:p>
    <w:p>
      <w:pPr>
        <w:pStyle w:val="Compact"/>
        <w:numPr>
          <w:ilvl w:val="0"/>
          <w:numId w:val="1004"/>
        </w:numPr>
      </w:pPr>
      <w:r>
        <w:t xml:space="preserve">Điều lệ công ty;</w:t>
      </w:r>
    </w:p>
    <w:p>
      <w:pPr>
        <w:pStyle w:val="Compact"/>
        <w:numPr>
          <w:ilvl w:val="0"/>
          <w:numId w:val="1004"/>
        </w:numPr>
      </w:pPr>
      <w:r>
        <w:t xml:space="preserve">Danh sách thành viên / cổ đông (TNHH hai thành viên trở lên, công ty cổ phần);</w:t>
      </w:r>
    </w:p>
    <w:p>
      <w:pPr>
        <w:pStyle w:val="Compact"/>
        <w:numPr>
          <w:ilvl w:val="0"/>
          <w:numId w:val="1004"/>
        </w:numPr>
      </w:pPr>
      <w:r>
        <w:t xml:space="preserve">Bản sao có chứng thực giấy tờ tùy thân của thành viên / cổ đông và người đại diện theo pháp luật</w:t>
      </w:r>
      <w:r>
        <w:t xml:space="preserve"> </w:t>
      </w:r>
      <w:r>
        <w:t xml:space="preserve">(thành viên là tổ chức thì kèm giấy chứng nhận đăng ký và văn bản ủy quyền);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Nhà đầu tư nước ngoài kèm bản sao IRC</w:t>
      </w:r>
      <w:r>
        <w:t xml:space="preserve">.</w:t>
      </w:r>
    </w:p>
    <w:p>
      <w:pPr>
        <w:pStyle w:val="BlockText"/>
      </w:pPr>
      <w:r>
        <w:t xml:space="preserve">Danh mục cụ thể khác nhau đôi chút theo loại hình và theo yêu cầu của từng tỉnh/thành;</w:t>
      </w:r>
      <w:r>
        <w:t xml:space="preserve"> </w:t>
      </w:r>
      <w:r>
        <w:rPr>
          <w:b/>
          <w:bCs/>
        </w:rPr>
        <w:t xml:space="preserve">trước khi nộp, căn cứ danh mục do cơ quan tiếp nhận công bố</w:t>
      </w:r>
      <w:r>
        <w:t xml:space="preserve">.</w:t>
      </w:r>
    </w:p>
    <w:bookmarkEnd w:id="13"/>
    <w:bookmarkStart w:id="14" w:name="vi.-lệ-phí-phí-theo-quy-định"/>
    <w:p>
      <w:pPr>
        <w:pStyle w:val="Heading2"/>
      </w:pPr>
      <w:r>
        <w:t xml:space="preserve">VI. Lệ phí, phí theo quy định</w:t>
      </w:r>
    </w:p>
    <w:p>
      <w:pPr>
        <w:pStyle w:val="FirstParagraph"/>
      </w:pPr>
      <w:r>
        <w:t xml:space="preserve">Theo</w:t>
      </w:r>
      <w:r>
        <w:t xml:space="preserve"> </w:t>
      </w:r>
      <w:r>
        <w:rPr>
          <w:b/>
          <w:bCs/>
        </w:rPr>
        <w:t xml:space="preserve">Thông tư 47/2019/TT-BTC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Khoản thu</w:t>
            </w:r>
          </w:p>
        </w:tc>
        <w:tc>
          <w:tcPr/>
          <w:p>
            <w:pPr>
              <w:pStyle w:val="Compact"/>
            </w:pPr>
            <w:r>
              <w:t xml:space="preserve">Mức</w:t>
            </w:r>
          </w:p>
        </w:tc>
      </w:tr>
      <w:tr>
        <w:tc>
          <w:tcPr/>
          <w:p>
            <w:pPr>
              <w:pStyle w:val="Compact"/>
            </w:pPr>
            <w:r>
              <w:t xml:space="preserve">Lệ phí đăng ký doanh nghiệp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50.000 đồng/lần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Phí công bố nội dung đăng ký doanh nghiệp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100.000 đồng/lần</w:t>
            </w:r>
          </w:p>
        </w:tc>
      </w:tr>
    </w:tbl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Đăng ký qua mạng điện tử được miễn lệ phí đăng ký doanh nghiệp</w:t>
      </w:r>
      <w:r>
        <w:t xml:space="preserve">;</w:t>
      </w:r>
      <w:r>
        <w:t xml:space="preserve"> </w:t>
      </w:r>
      <w:r>
        <w:t xml:space="preserve">nếu cần công bố thì</w:t>
      </w:r>
      <w:r>
        <w:t xml:space="preserve"> </w:t>
      </w:r>
      <w:r>
        <w:rPr>
          <w:b/>
          <w:bCs/>
        </w:rPr>
        <w:t xml:space="preserve">phí công bố 100.000 đồng vẫn phải nộp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Các trường hợp miễn khác (Điều 5): bổ sung, thay đổi thông tin do</w:t>
      </w:r>
      <w:r>
        <w:t xml:space="preserve"> </w:t>
      </w:r>
      <w:r>
        <w:rPr>
          <w:b/>
          <w:bCs/>
        </w:rPr>
        <w:t xml:space="preserve">thay đổi địa giới</w:t>
      </w:r>
      <w:r>
        <w:rPr>
          <w:b/>
          <w:bCs/>
        </w:rPr>
        <w:t xml:space="preserve"> </w:t>
      </w:r>
      <w:r>
        <w:rPr>
          <w:b/>
          <w:bCs/>
        </w:rPr>
        <w:t xml:space="preserve">hành chính</w:t>
      </w:r>
      <w:r>
        <w:t xml:space="preserve"> </w:t>
      </w:r>
      <w:r>
        <w:t xml:space="preserve">được miễn cả lệ phí đăng ký và phí công bố; đăng ký giải thể doanh nghiệp,</w:t>
      </w:r>
      <w:r>
        <w:t xml:space="preserve"> </w:t>
      </w:r>
      <w:r>
        <w:t xml:space="preserve">tạm ngừng kinh doanh được miễn.</w:t>
      </w:r>
    </w:p>
    <w:p>
      <w:pPr>
        <w:pStyle w:val="BlockText"/>
      </w:pPr>
      <w:r>
        <w:rPr>
          <w:b/>
          <w:bCs/>
        </w:rPr>
        <w:t xml:space="preserve">Hãy tách lệ phí theo quy định khỏi phí dịch vụ của đại lý.</w:t>
      </w:r>
      <w:r>
        <w:t xml:space="preserve"> </w:t>
      </w:r>
      <w:r>
        <w:t xml:space="preserve">Tổng lệ phí, phí theo quy định</w:t>
      </w:r>
      <w:r>
        <w:t xml:space="preserve"> </w:t>
      </w:r>
      <w:r>
        <w:t xml:space="preserve">chỉ là</w:t>
      </w:r>
      <w:r>
        <w:t xml:space="preserve"> </w:t>
      </w:r>
      <w:r>
        <w:rPr>
          <w:b/>
          <w:bCs/>
        </w:rPr>
        <w:t xml:space="preserve">150.000 đồng</w:t>
      </w:r>
      <w:r>
        <w:t xml:space="preserve"> </w:t>
      </w:r>
      <w:r>
        <w:t xml:space="preserve">(đăng ký trực tuyến thì 100.000). Tài liệu tiếng Trung thường gộp</w:t>
      </w:r>
      <w:r>
        <w:t xml:space="preserve"> </w:t>
      </w:r>
      <w:r>
        <w:t xml:space="preserve">hai khoản thành một</w:t>
      </w:r>
      <w:r>
        <w:t xml:space="preserve"> </w:t>
      </w:r>
      <w:r>
        <w:t xml:space="preserve">“chi phí đăng ký”</w:t>
      </w:r>
      <w:r>
        <w:t xml:space="preserve">, khiến người đọc tưởng vài chục triệu đồng</w:t>
      </w:r>
      <w:r>
        <w:t xml:space="preserve"> </w:t>
      </w:r>
      <w:r>
        <w:t xml:space="preserve">đều do cơ quan nhà nước thu. Phí dịch vụ có thể so sánh giá, lệ phí thì không.</w:t>
      </w:r>
    </w:p>
    <w:bookmarkEnd w:id="14"/>
    <w:bookmarkStart w:id="16" w:name="vii.-sau-khi-có-erc-các-thủ-tục-ban-đầu"/>
    <w:p>
      <w:pPr>
        <w:pStyle w:val="Heading2"/>
      </w:pPr>
      <w:r>
        <w:t xml:space="preserve">VII. Sau khi có ERC: các thủ tục ban đầu</w:t>
      </w:r>
    </w:p>
    <w:p>
      <w:pPr>
        <w:pStyle w:val="FirstParagraph"/>
      </w:pPr>
      <w:r>
        <w:t xml:space="preserve">Có ERC mới chỉ là bắt đầu; các thủ tục sau đây có thời hạn luật định: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Khai thuế ban đầu</w:t>
      </w:r>
      <w:r>
        <w:t xml:space="preserve"> </w:t>
      </w:r>
      <w:r>
        <w:t xml:space="preserve">— nộp trong</w:t>
      </w:r>
      <w:r>
        <w:t xml:space="preserve"> </w:t>
      </w:r>
      <w:r>
        <w:rPr>
          <w:b/>
          <w:bCs/>
        </w:rPr>
        <w:t xml:space="preserve">10 ngày</w:t>
      </w:r>
      <w:r>
        <w:t xml:space="preserve"> </w:t>
      </w:r>
      <w:r>
        <w:t xml:space="preserve">kể từ ngày được cấp ERC;</w:t>
      </w:r>
    </w:p>
    <w:p>
      <w:pPr>
        <w:pStyle w:val="Compact"/>
        <w:numPr>
          <w:ilvl w:val="0"/>
          <w:numId w:val="1006"/>
        </w:numPr>
      </w:pPr>
      <w:r>
        <w:t xml:space="preserve">Khắc</w:t>
      </w:r>
      <w:r>
        <w:t xml:space="preserve"> </w:t>
      </w:r>
      <w:r>
        <w:rPr>
          <w:b/>
          <w:bCs/>
        </w:rPr>
        <w:t xml:space="preserve">con dấu</w:t>
      </w:r>
      <w:r>
        <w:t xml:space="preserve"> </w:t>
      </w:r>
      <w:r>
        <w:t xml:space="preserve">công ty và sử dụng theo quy định;</w:t>
      </w:r>
    </w:p>
    <w:p>
      <w:pPr>
        <w:pStyle w:val="Compact"/>
        <w:numPr>
          <w:ilvl w:val="0"/>
          <w:numId w:val="1006"/>
        </w:numPr>
      </w:pPr>
      <w:r>
        <w:t xml:space="preserve">Mở</w:t>
      </w:r>
      <w:r>
        <w:t xml:space="preserve"> </w:t>
      </w:r>
      <w:r>
        <w:rPr>
          <w:b/>
          <w:bCs/>
        </w:rPr>
        <w:t xml:space="preserve">tài khoản ngân hàng</w:t>
      </w:r>
      <w:r>
        <w:t xml:space="preserve"> </w:t>
      </w:r>
      <w:r>
        <w:t xml:space="preserve">của công ty;</w:t>
      </w:r>
    </w:p>
    <w:p>
      <w:pPr>
        <w:pStyle w:val="Compact"/>
        <w:numPr>
          <w:ilvl w:val="0"/>
          <w:numId w:val="1006"/>
        </w:numPr>
      </w:pPr>
      <w:r>
        <w:t xml:space="preserve">Mua</w:t>
      </w:r>
      <w:r>
        <w:t xml:space="preserve"> </w:t>
      </w:r>
      <w:r>
        <w:rPr>
          <w:b/>
          <w:bCs/>
        </w:rPr>
        <w:t xml:space="preserve">chữ ký số</w:t>
      </w:r>
      <w:r>
        <w:t xml:space="preserve"> </w:t>
      </w:r>
      <w:r>
        <w:t xml:space="preserve">và đăng ký</w:t>
      </w:r>
      <w:r>
        <w:t xml:space="preserve"> </w:t>
      </w:r>
      <w:r>
        <w:rPr>
          <w:b/>
          <w:bCs/>
        </w:rPr>
        <w:t xml:space="preserve">tài khoản thuế điện tử</w:t>
      </w:r>
      <w:r>
        <w:t xml:space="preserve"> </w:t>
      </w:r>
      <w:r>
        <w:t xml:space="preserve">(</w:t>
      </w:r>
      <w:hyperlink r:id="rId15">
        <w:r>
          <w:rPr>
            <w:rStyle w:val="Hyperlink"/>
          </w:rPr>
          <w:t xml:space="preserve">https://dichvucong.gdt.gov.vn/tthc/homelogin</w:t>
        </w:r>
      </w:hyperlink>
      <w:r>
        <w:t xml:space="preserve">);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Doanh nghiệp FDI mở thêm tài khoản DICA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Đăng ký và phát hành</w:t>
      </w:r>
      <w:r>
        <w:t xml:space="preserve"> </w:t>
      </w:r>
      <w:r>
        <w:rPr>
          <w:b/>
          <w:bCs/>
        </w:rPr>
        <w:t xml:space="preserve">hóa đơn điện tử</w:t>
      </w:r>
      <w:r>
        <w:t xml:space="preserve"> </w:t>
      </w:r>
      <w:r>
        <w:t xml:space="preserve">(theo Nghị định 70/2025/NĐ-CP, hiệu lực 01/6/2025);</w:t>
      </w:r>
    </w:p>
    <w:p>
      <w:pPr>
        <w:pStyle w:val="Compact"/>
        <w:numPr>
          <w:ilvl w:val="0"/>
          <w:numId w:val="1006"/>
        </w:numPr>
      </w:pPr>
      <w:r>
        <w:t xml:space="preserve">Có lao động thì làm thủ tục</w:t>
      </w:r>
      <w:r>
        <w:t xml:space="preserve"> </w:t>
      </w:r>
      <w:r>
        <w:rPr>
          <w:b/>
          <w:bCs/>
        </w:rPr>
        <w:t xml:space="preserve">mã đơn vị BHXH</w:t>
      </w:r>
      <w:r>
        <w:t xml:space="preserve"> </w:t>
      </w:r>
      <w:r>
        <w:t xml:space="preserve">và kê khai tham gia bảo hiểm.</w:t>
      </w:r>
    </w:p>
    <w:p>
      <w:pPr>
        <w:pStyle w:val="BlockText"/>
      </w:pPr>
      <w:r>
        <w:rPr>
          <w:b/>
          <w:bCs/>
        </w:rPr>
        <w:t xml:space="preserve">Lệ phí môn bài đã bị bãi bỏ</w:t>
      </w:r>
      <w:r>
        <w:t xml:space="preserve">, chấm dứt thu nộp từ</w:t>
      </w:r>
      <w:r>
        <w:t xml:space="preserve"> </w:t>
      </w:r>
      <w:r>
        <w:rPr>
          <w:b/>
          <w:bCs/>
        </w:rPr>
        <w:t xml:space="preserve">01/01/2026</w:t>
      </w:r>
      <w:r>
        <w:t xml:space="preserve"> </w:t>
      </w:r>
      <w:r>
        <w:t xml:space="preserve">(Điều 10 Nghị quyết số 198/2025/QH15).</w:t>
      </w:r>
      <w:r>
        <w:t xml:space="preserve"> </w:t>
      </w:r>
      <w:r>
        <w:rPr>
          <w:b/>
          <w:bCs/>
        </w:rPr>
        <w:t xml:space="preserve">Hầu hết hướng dẫn thành lập doanh nghiệp trước năm 2025 vẫn dạy bạn kê khai khoản này —</w:t>
      </w:r>
      <w:r>
        <w:rPr>
          <w:b/>
          <w:bCs/>
        </w:rPr>
        <w:t xml:space="preserve"> </w:t>
      </w:r>
      <w:r>
        <w:rPr>
          <w:b/>
          <w:bCs/>
        </w:rPr>
        <w:t xml:space="preserve">bước đó nay không còn tồn tại.</w:t>
      </w:r>
    </w:p>
    <w:p>
      <w:pPr>
        <w:pStyle w:val="BlockText"/>
      </w:pPr>
      <w:r>
        <w:t xml:space="preserve">Thủ tục thuế và thời hạn khai thuế chi tiết xem tài liệu</w:t>
      </w:r>
      <w:r>
        <w:t xml:space="preserve"> </w:t>
      </w:r>
      <w:r>
        <w:rPr>
          <w:i/>
          <w:iCs/>
        </w:rPr>
        <w:t xml:space="preserve">Hướng dẫn thủ tục thuế và thủ tục</w:t>
      </w:r>
      <w:r>
        <w:rPr>
          <w:i/>
          <w:iCs/>
        </w:rPr>
        <w:t xml:space="preserve"> </w:t>
      </w:r>
      <w:r>
        <w:rPr>
          <w:i/>
          <w:iCs/>
        </w:rPr>
        <w:t xml:space="preserve">ban đầu cho doanh nghiệp tại Việt Nam</w:t>
      </w:r>
      <w:r>
        <w:t xml:space="preserve"> </w:t>
      </w:r>
      <w:r>
        <w:t xml:space="preserve">trong thư viện này; tuyển dụng và BHXH xem</w:t>
      </w:r>
      <w:r>
        <w:t xml:space="preserve"> </w:t>
      </w:r>
      <w:r>
        <w:rPr>
          <w:i/>
          <w:iCs/>
        </w:rPr>
        <w:t xml:space="preserve">Hướng dẫn quy trình tuyển dụng, BHXH và khấu trừ thuế TNCN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6"/>
    <w:bookmarkStart w:id="17" w:name="viii.-căn-cứ-pháp-lý-được-dẫn-chiếu"/>
    <w:p>
      <w:pPr>
        <w:pStyle w:val="Heading2"/>
      </w:pPr>
      <w:r>
        <w:t xml:space="preserve">VIII. Căn cứ pháp lý được dẫn chiếu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Chủ đề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Loại hình và vốn điều lệ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Doanh nghiệp số 59/2020/QH14</w:t>
            </w:r>
            <w:r>
              <w:t xml:space="preserve"> </w:t>
            </w:r>
            <w:r>
              <w:t xml:space="preserve">(Điều 46…)</w:t>
            </w:r>
          </w:p>
        </w:tc>
        <w:tc>
          <w:tcPr/>
          <w:p>
            <w:pPr>
              <w:pStyle w:val="Compact"/>
            </w:pPr>
            <w:r>
              <w:t xml:space="preserve">Năm loại hình; TNHH 2–50 thành viên;</w:t>
            </w:r>
            <w:r>
              <w:t xml:space="preserve"> </w:t>
            </w:r>
            <w:r>
              <w:rPr>
                <w:b/>
                <w:bCs/>
              </w:rPr>
              <w:t xml:space="preserve">không quy định vốn điều lệ tối thiểu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Thời hạn cấp ERC</w:t>
            </w:r>
          </w:p>
        </w:tc>
        <w:tc>
          <w:tcPr/>
          <w:p>
            <w:pPr>
              <w:pStyle w:val="Compact"/>
            </w:pPr>
            <w:r>
              <w:t xml:space="preserve">Cùng Luật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03 ngày làm việc</w:t>
            </w:r>
            <w:r>
              <w:t xml:space="preserve"> </w:t>
            </w:r>
            <w:r>
              <w:t xml:space="preserve">kể từ ngày nhận hồ sơ; chưa hợp lệ phải thông báo bằng văn bản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Cư trú của người đại diện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Khoản 3 Điều 12</w:t>
            </w:r>
            <w:r>
              <w:t xml:space="preserve"> </w:t>
            </w:r>
            <w:r>
              <w:t xml:space="preserve">cùng Luật</w:t>
            </w:r>
          </w:p>
        </w:tc>
        <w:tc>
          <w:tcPr/>
          <w:p>
            <w:pPr>
              <w:pStyle w:val="Compact"/>
            </w:pPr>
            <w:r>
              <w:t xml:space="preserve">Luôn phải có ít nhất một người đại diện cư trú tại Việt Nam; chỉ còn một người thì xuất cảnh phải ủy quyền bằng văn bản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38 Luật Đầu tư số 61/2020/QH14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ngày</w:t>
            </w:r>
            <w:r>
              <w:t xml:space="preserve"> </w:t>
            </w:r>
            <w:r>
              <w:t xml:space="preserve">với dự án không thuộc diện chấp thuận chủ trương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Lệ phí, phí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47/2019/TT-BTC</w:t>
            </w:r>
          </w:p>
        </w:tc>
        <w:tc>
          <w:tcPr/>
          <w:p>
            <w:pPr>
              <w:pStyle w:val="Compact"/>
            </w:pPr>
            <w:r>
              <w:t xml:space="preserve">50.000 / 100.000 đồng; đăng ký trực tuyến miễn lệ phí đăng ký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Cơ quan tiếp nhận</w:t>
            </w:r>
          </w:p>
        </w:tc>
        <w:tc>
          <w:tcPr/>
          <w:p>
            <w:pPr>
              <w:pStyle w:val="Compact"/>
            </w:pPr>
            <w:r>
              <w:t xml:space="preserve">Cải cách bộ máy 2025</w:t>
            </w:r>
          </w:p>
        </w:tc>
        <w:tc>
          <w:tcPr/>
          <w:p>
            <w:pPr>
              <w:pStyle w:val="Compact"/>
            </w:pPr>
            <w:r>
              <w:t xml:space="preserve">Sở KH&amp;ĐT hợp nhất vào Sở Tài chính; do</w:t>
            </w:r>
            <w:r>
              <w:t xml:space="preserve"> </w:t>
            </w:r>
            <w:r>
              <w:rPr>
                <w:b/>
                <w:bCs/>
              </w:rPr>
              <w:t xml:space="preserve">Phòng Đăng ký kinh doanh và Tài chính doanh nghiệp</w:t>
            </w:r>
            <w:r>
              <w:t xml:space="preserve"> </w:t>
            </w:r>
            <w:r>
              <w:t xml:space="preserve">đảm nhiệm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06/2019/TT-NHNN</w:t>
            </w:r>
          </w:p>
        </w:tc>
        <w:tc>
          <w:tcPr/>
          <w:p>
            <w:pPr>
              <w:pStyle w:val="Compact"/>
            </w:pPr>
            <w:r>
              <w:t xml:space="preserve">Doanh nghiệp FDI và nhà đầu tư nước ngoài bắt buộc mở; ngoại tệ hoặc VNĐ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Khai thuế ban đầu</w:t>
            </w:r>
          </w:p>
        </w:tc>
        <w:tc>
          <w:tcPr/>
          <w:p>
            <w:pPr>
              <w:pStyle w:val="Compact"/>
            </w:pPr>
            <w:r>
              <w:t xml:space="preserve">Quy định về quản lý thuế</w:t>
            </w:r>
          </w:p>
        </w:tc>
        <w:tc>
          <w:tcPr/>
          <w:p>
            <w:pPr>
              <w:pStyle w:val="Compact"/>
            </w:pPr>
            <w:r>
              <w:t xml:space="preserve">Trong</w:t>
            </w:r>
            <w:r>
              <w:t xml:space="preserve"> </w:t>
            </w:r>
            <w:r>
              <w:rPr>
                <w:b/>
                <w:bCs/>
              </w:rPr>
              <w:t xml:space="preserve">10 ngày</w:t>
            </w:r>
            <w:r>
              <w:t xml:space="preserve"> </w:t>
            </w:r>
            <w:r>
              <w:t xml:space="preserve">kể từ ngày cấp ERC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Bãi bỏ lệ phí môn bài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10 Nghị quyết 198/2025/QH15</w:t>
            </w:r>
          </w:p>
        </w:tc>
        <w:tc>
          <w:tcPr/>
          <w:p>
            <w:pPr>
              <w:pStyle w:val="Compact"/>
            </w:pPr>
            <w:r>
              <w:t xml:space="preserve">Chấm dứt thu nộp từ 01/01/2026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18/09/2026.</w:t>
      </w:r>
    </w:p>
    <w:p>
      <w:r>
        <w:pict>
          <v:rect style="width:0;height:1.5pt" o:hralign="center" o:hrstd="t" o:hr="t"/>
        </w:pict>
      </w:r>
    </w:p>
    <w:bookmarkEnd w:id="17"/>
    <w:bookmarkStart w:id="18" w:name="ix.-hướng-dẫn-sử-dụng-và-lưu-ý-rủi-ro"/>
    <w:p>
      <w:pPr>
        <w:pStyle w:val="Heading2"/>
      </w:pPr>
      <w:r>
        <w:t xml:space="preserve">IX. Hướng dẫn sử dụng và lưu ý rủi ro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Đây là tài liệu tham khảo chung, không phải ý kiến pháp lý hay tư vấn thuế.</w:t>
      </w:r>
      <w:r>
        <w:t xml:space="preserve"> </w:t>
      </w:r>
      <w:r>
        <w:t xml:space="preserve">Ngành nghề, tư cách nhà đầu tư và cơ cấu góp vốn khác nhau thì thủ tục cũng khác;</w:t>
      </w:r>
      <w:r>
        <w:t xml:space="preserve"> </w:t>
      </w:r>
      <w:r>
        <w:t xml:space="preserve">vui lòng thực hiện theo ý kiến của luật sư hành nghề tại Việt Nam.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Phân biệt thời hạn luật định với thời gian thực tế.</w:t>
      </w:r>
      <w:r>
        <w:t xml:space="preserve"> </w:t>
      </w:r>
      <w:r>
        <w:t xml:space="preserve">Tài liệu đã tách riêng;</w:t>
      </w:r>
      <w:r>
        <w:t xml:space="preserve"> </w:t>
      </w:r>
      <w:r>
        <w:t xml:space="preserve">khi trích dẫn, đừng coi con số ước tính là thời hạn có thể yêu cầu cơ quan thực hiện.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Những nội dung tài liệu này cố ý không viết</w:t>
      </w:r>
      <w:r>
        <w:t xml:space="preserve">: danh mục điều kiện tiếp cận và</w:t>
      </w:r>
      <w:r>
        <w:t xml:space="preserve"> </w:t>
      </w:r>
      <w:r>
        <w:t xml:space="preserve">trần tỷ lệ góp vốn theo từng ngành; mức vốn điều lệ tối thiểu của ngành nghề có điều kiện;</w:t>
      </w:r>
      <w:r>
        <w:t xml:space="preserve"> </w:t>
      </w:r>
      <w:r>
        <w:t xml:space="preserve">yêu cầu bắt buộc cụ thể về loại tiền góp vốn. Những nội dung này phải tra theo</w:t>
      </w:r>
      <w:r>
        <w:t xml:space="preserve"> </w:t>
      </w:r>
      <w:r>
        <w:t xml:space="preserve">từng ngành trong điều ước và văn bản hiện hành;</w:t>
      </w:r>
      <w:r>
        <w:t xml:space="preserve"> </w:t>
      </w:r>
      <w:r>
        <w:rPr>
          <w:b/>
          <w:bCs/>
        </w:rPr>
        <w:t xml:space="preserve">chưa rà soát được nguồn thì không viết</w:t>
      </w:r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Quy định pháp luật có tính thời điểm.</w:t>
      </w:r>
      <w:r>
        <w:t xml:space="preserve"> </w:t>
      </w:r>
      <w:r>
        <w:t xml:space="preserve">Giai đoạn 2025–2026, bộ máy và chế độ thuế</w:t>
      </w:r>
      <w:r>
        <w:t xml:space="preserve"> </w:t>
      </w:r>
      <w:r>
        <w:t xml:space="preserve">của Việt Nam được điều chỉnh với tần suất cao.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Tài liệu này không chứa thông tin của bất kỳ doanh nghiệp cụ thể nào.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dichvucong.gdt.gov.vn/tthc/home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dichvucong.gdt.gov.vn/tthc/home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Quy trình thành lập doanh nghiệp tại Việt Nam (Bản 2026)</dc:title>
  <dc:creator/>
  <dc:language>vi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