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Consumer Premiumisation and Brand Strategy in Vietnam: Verifiable Baselines and the 2026 Hard Constraints</w:t>
      </w:r>
    </w:p>
    <w:bookmarkStart w:id="20" w:name="Xd5ce34210f5c84c8222e232668ea9f9cf7aa934"/>
    <w:p>
      <w:pPr>
        <w:pStyle w:val="Heading1"/>
      </w:pPr>
      <w:r>
        <w:t xml:space="preserve">Consumer Premiumisation and Brand Strategy in Vietnam: Verifiable Baselines and the 2026 Hard Constraints</w:t>
      </w:r>
    </w:p>
    <w:p>
      <w:pPr>
        <w:pStyle w:val="FirstParagraph"/>
      </w:pPr>
      <w:r>
        <w:rPr>
          <w:b/>
          <w:bCs/>
        </w:rPr>
        <w:t xml:space="preserve">2026 edition</w:t>
      </w:r>
    </w:p>
    <w:p>
      <w:pPr>
        <w:pStyle w:val="BodyText"/>
      </w:pPr>
      <w:r>
        <w:rPr>
          <w:b/>
          <w:bCs/>
        </w:rPr>
        <w:t xml:space="preserve">Legal verification date: 18 September 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Why this note does not look like a usual</w:t>
      </w:r>
      <w:r>
        <w:rPr>
          <w:b/>
          <w:bCs/>
        </w:rPr>
        <w:t xml:space="preserve"> </w:t>
      </w:r>
      <w:r>
        <w:rPr>
          <w:b/>
          <w:bCs/>
        </w:rPr>
        <w:t xml:space="preserve">“brand strategy”</w:t>
      </w:r>
      <w:r>
        <w:rPr>
          <w:b/>
          <w:bCs/>
        </w:rPr>
        <w:t xml:space="preserve"> </w:t>
      </w:r>
      <w:r>
        <w:rPr>
          <w:b/>
          <w:bCs/>
        </w:rPr>
        <w:t xml:space="preserve">document.</w:t>
      </w:r>
    </w:p>
    <w:p>
      <w:pPr>
        <w:pStyle w:val="BlockText"/>
      </w:pPr>
      <w:r>
        <w:t xml:space="preserve">Most material on Vietnamese consumer premiumisation is built from three things: a growth</w:t>
      </w:r>
      <w:r>
        <w:t xml:space="preserve"> </w:t>
      </w:r>
      <w:r>
        <w:t xml:space="preserve">rate, a few trend charts, and a string of judgements in the form of</w:t>
      </w:r>
      <w:r>
        <w:t xml:space="preserve"> </w:t>
      </w:r>
      <w:r>
        <w:t xml:space="preserve">“Gen Z will pay more</w:t>
      </w:r>
      <w:r>
        <w:t xml:space="preserve"> </w:t>
      </w:r>
      <w:r>
        <w:t xml:space="preserve">for experience”</w:t>
      </w:r>
      <w:r>
        <w:t xml:space="preserve">. The problem is that</w:t>
      </w:r>
      <w:r>
        <w:t xml:space="preserve"> </w:t>
      </w:r>
      <w:r>
        <w:rPr>
          <w:b/>
          <w:bCs/>
        </w:rPr>
        <w:t xml:space="preserve">those numbers frequently have no traceable source</w:t>
      </w:r>
      <w:r>
        <w:rPr>
          <w:b/>
          <w:bCs/>
        </w:rPr>
        <w:t xml:space="preserve"> </w:t>
      </w:r>
      <w:r>
        <w:rPr>
          <w:b/>
          <w:bCs/>
        </w:rPr>
        <w:t xml:space="preserve">and are computed on inconsistent bases</w:t>
      </w:r>
      <w:r>
        <w:t xml:space="preserve"> </w:t>
      </w:r>
      <w:r>
        <w:t xml:space="preserve">— making an investment or pricing decision on them</w:t>
      </w:r>
      <w:r>
        <w:t xml:space="preserve"> </w:t>
      </w:r>
      <w:r>
        <w:t xml:space="preserve">means betting the company on a deck whose provenance nobody can check.</w:t>
      </w:r>
    </w:p>
    <w:p>
      <w:pPr>
        <w:pStyle w:val="BlockText"/>
      </w:pPr>
      <w:r>
        <w:t xml:space="preserve">This note is built differently: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Section I contains only figures traceable to an official source</w:t>
      </w:r>
      <w:r>
        <w:t xml:space="preserve">, with the basis stated;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Section II sets out the hard constraints</w:t>
      </w:r>
      <w:r>
        <w:t xml:space="preserve"> </w:t>
      </w:r>
      <w:r>
        <w:t xml:space="preserve">— rules that apply regardless of how you read</w:t>
      </w:r>
      <w:r>
        <w:t xml:space="preserve"> </w:t>
      </w:r>
      <w:r>
        <w:t xml:space="preserve">the trend, each with a definite effective date;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Section III gives method</w:t>
      </w:r>
      <w:r>
        <w:t xml:space="preserve"> </w:t>
      </w:r>
      <w:r>
        <w:t xml:space="preserve">— how to decompose the decision, rather than making it for you;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Section VII states explicitly what this note does not cover</w:t>
      </w:r>
      <w:r>
        <w:t xml:space="preserve">, and why.</w:t>
      </w:r>
    </w:p>
    <w:p>
      <w:pPr>
        <w:pStyle w:val="BlockText"/>
      </w:pPr>
      <w:r>
        <w:rPr>
          <w:b/>
          <w:bCs/>
        </w:rPr>
        <w:t xml:space="preserve">A judgement may be wrong; a baseline may not.</w:t>
      </w:r>
      <w:r>
        <w:t xml:space="preserve"> </w:t>
      </w:r>
      <w:r>
        <w:t xml:space="preserve">Get the baseline wrong and every step after</w:t>
      </w:r>
      <w:r>
        <w:t xml:space="preserve"> </w:t>
      </w:r>
      <w:r>
        <w:t xml:space="preserve">it inherits the error.</w:t>
      </w:r>
    </w:p>
    <w:p>
      <w:r>
        <w:pict>
          <v:rect style="width:0;height:1.5pt" o:hralign="center" o:hrstd="t" o:hr="t"/>
        </w:pict>
      </w:r>
    </w:p>
    <w:bookmarkStart w:id="9" w:name="X25d17aa86638e4e130a1796bc2c908ee25408cc"/>
    <w:p>
      <w:pPr>
        <w:pStyle w:val="Heading2"/>
      </w:pPr>
      <w:r>
        <w:t xml:space="preserve">I. Verifiable Baselines (full-year 2025, official basis)</w:t>
      </w:r>
    </w:p>
    <w:p>
      <w:pPr>
        <w:pStyle w:val="FirstParagraph"/>
      </w:pPr>
      <w:r>
        <w:t xml:space="preserve">The figures below come from the Vietnamese statistical authority’s Q4 and full-year 2025</w:t>
      </w:r>
      <w:r>
        <w:t xml:space="preserve"> </w:t>
      </w:r>
      <w:r>
        <w:t xml:space="preserve">socio-economic report, as published on the government portal.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</w:t>
            </w:r>
          </w:p>
        </w:tc>
        <w:tc>
          <w:tcPr/>
          <w:p>
            <w:pPr>
              <w:pStyle w:val="Compact"/>
            </w:pPr>
            <w:r>
              <w:t xml:space="preserve">Full-year 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GDP growth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8.02%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GDP per capita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USD 5,026</w:t>
            </w:r>
            <w:r>
              <w:t xml:space="preserve"> </w:t>
            </w:r>
            <w:r>
              <w:t xml:space="preserve">(current prices)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Average population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102.3 million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Average CPI increase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3.31%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 retail sales of goods and consumer service revenue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7,008.9 trillion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+9.2%</w:t>
            </w:r>
            <w:r>
              <w:t xml:space="preserve"> </w:t>
            </w:r>
            <w:r>
              <w:t xml:space="preserve">year on year</w:t>
            </w:r>
          </w:p>
        </w:tc>
      </w:tr>
    </w:tbl>
    <w:p>
      <w:pPr>
        <w:pStyle w:val="BodyText"/>
      </w:pPr>
      <w:r>
        <w:rPr>
          <w:b/>
          <w:bCs/>
        </w:rPr>
        <w:t xml:space="preserve">How to read these five numbers: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GDP per capita of USD 5,026</w:t>
      </w:r>
      <w:r>
        <w:t xml:space="preserve"> </w:t>
      </w:r>
      <w:r>
        <w:t xml:space="preserve">sits near a threshold that is frequently cited. But note this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GDP per capita — not disposable income per head, and not median household income</w:t>
      </w:r>
      <w:r>
        <w:t xml:space="preserve">.</w:t>
      </w:r>
      <w:r>
        <w:t xml:space="preserve"> </w:t>
      </w:r>
      <w:r>
        <w:t xml:space="preserve">Using it to size the addressable population for a given price point is a common but invalid leap.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Retail at +9.2% against CPI at +3.31%</w:t>
      </w:r>
      <w:r>
        <w:t xml:space="preserve"> </w:t>
      </w:r>
      <w:r>
        <w:t xml:space="preserve">means the growth is not purely price. This is the</w:t>
      </w:r>
      <w:r>
        <w:t xml:space="preserve"> </w:t>
      </w:r>
      <w:r>
        <w:t xml:space="preserve">closest thing to direct evidence for the claim that consumption is growing in real terms.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population of 102.3 million</w:t>
      </w:r>
      <w:r>
        <w:t xml:space="preserve"> </w:t>
      </w:r>
      <w:r>
        <w:t xml:space="preserve">is the denominator. Before accepting any</w:t>
      </w:r>
      <w:r>
        <w:t xml:space="preserve"> </w:t>
      </w:r>
      <w:r>
        <w:t xml:space="preserve">“market size”</w:t>
      </w:r>
      <w:r>
        <w:t xml:space="preserve"> </w:t>
      </w:r>
      <w:r>
        <w:t xml:space="preserve">claim, check which denominator it used.</w:t>
      </w:r>
    </w:p>
    <w:p>
      <w:pPr>
        <w:pStyle w:val="BlockText"/>
      </w:pPr>
      <w:r>
        <w:rPr>
          <w:b/>
          <w:bCs/>
        </w:rPr>
        <w:t xml:space="preserve">This note does not state an urbanisation rate.</w:t>
      </w:r>
      <w:r>
        <w:t xml:space="preserve"> </w:t>
      </w:r>
      <w:r>
        <w:t xml:space="preserve">The report does not provide one, and</w:t>
      </w:r>
      <w:r>
        <w:t xml:space="preserve"> </w:t>
      </w:r>
      <w:r>
        <w:t xml:space="preserve">secondary sources disagree on the basis. Under this channel’s editorial rule, an unverified</w:t>
      </w:r>
      <w:r>
        <w:t xml:space="preserve"> </w:t>
      </w:r>
      <w:r>
        <w:t xml:space="preserve">figure is left out.</w:t>
      </w:r>
    </w:p>
    <w:p>
      <w:r>
        <w:pict>
          <v:rect style="width:0;height:1.5pt" o:hralign="center" o:hrstd="t" o:hr="t"/>
        </w:pict>
      </w:r>
    </w:p>
    <w:bookmarkEnd w:id="9"/>
    <w:bookmarkStart w:id="14" w:name="ii.-four-hard-constraints-for-2026"/>
    <w:p>
      <w:pPr>
        <w:pStyle w:val="Heading2"/>
      </w:pPr>
      <w:r>
        <w:t xml:space="preserve">II. Four Hard Constraints for 2026</w:t>
      </w:r>
    </w:p>
    <w:p>
      <w:pPr>
        <w:pStyle w:val="FirstParagraph"/>
      </w:pPr>
      <w:r>
        <w:t xml:space="preserve">This section has nothing to do with trend judgement.</w:t>
      </w:r>
      <w:r>
        <w:t xml:space="preserve"> </w:t>
      </w:r>
      <w:r>
        <w:rPr>
          <w:b/>
          <w:bCs/>
        </w:rPr>
        <w:t xml:space="preserve">However you read premiumisation, these</w:t>
      </w:r>
      <w:r>
        <w:rPr>
          <w:b/>
          <w:bCs/>
        </w:rPr>
        <w:t xml:space="preserve"> </w:t>
      </w:r>
      <w:r>
        <w:rPr>
          <w:b/>
          <w:bCs/>
        </w:rPr>
        <w:t xml:space="preserve">four apply.</w:t>
      </w:r>
    </w:p>
    <w:bookmarkStart w:id="10" w:name="X3884f233ec326a0659905ca7bedaf98a8e25197"/>
    <w:p>
      <w:pPr>
        <w:pStyle w:val="Heading3"/>
      </w:pPr>
      <w:r>
        <w:t xml:space="preserve">2.1 Sugar-sweetened beverages: tax rises in two steps</w:t>
      </w:r>
    </w:p>
    <w:p>
      <w:pPr>
        <w:pStyle w:val="FirstParagraph"/>
      </w:pPr>
      <w:r>
        <w:rPr>
          <w:b/>
          <w:bCs/>
        </w:rPr>
        <w:t xml:space="preserve">Law 66/2025/QH15</w:t>
      </w:r>
      <w:r>
        <w:t xml:space="preserve"> </w:t>
      </w:r>
      <w:r>
        <w:t xml:space="preserve">(Special Consumption Tax, passed 14 June 2025, in force 1 January 2026)</w:t>
      </w:r>
      <w:r>
        <w:t xml:space="preserve"> </w:t>
      </w:r>
      <w:r>
        <w:t xml:space="preserve">brings sugar-sweetened beverages within special consumption tax for the first time.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Effective</w:t>
            </w:r>
          </w:p>
        </w:tc>
        <w:tc>
          <w:tcPr/>
          <w:p>
            <w:pPr>
              <w:pStyle w:val="Compact"/>
            </w:pPr>
            <w:r>
              <w:t xml:space="preserve">Rate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Beverages with sugar content</w:t>
            </w:r>
            <w:r>
              <w:t xml:space="preserve"> </w:t>
            </w:r>
            <w:r>
              <w:rPr>
                <w:b/>
                <w:bCs/>
              </w:rPr>
              <w:t xml:space="preserve">above 5g/100mL</w:t>
            </w:r>
            <w:r>
              <w:t xml:space="preserve"> </w:t>
            </w:r>
            <w:r>
              <w:t xml:space="preserve">under the national standard (TCVN)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As above</w:t>
            </w:r>
          </w:p>
        </w:tc>
      </w:tr>
    </w:tbl>
    <w:p>
      <w:pPr>
        <w:pStyle w:val="BodyText"/>
      </w:pPr>
      <w:r>
        <w:t xml:space="preserve">The same law raises rates on alcohol, beer and tobacco from 2027.</w:t>
      </w:r>
    </w:p>
    <w:p>
      <w:pPr>
        <w:pStyle w:val="BlockText"/>
      </w:pPr>
      <w:r>
        <w:rPr>
          <w:b/>
          <w:bCs/>
        </w:rPr>
        <w:t xml:space="preserve">Why this belongs in a brand strategy note rather than a tax note.</w:t>
      </w:r>
      <w:r>
        <w:t xml:space="preserve"> </w:t>
      </w:r>
      <w:r>
        <w:t xml:space="preserve">The rates bite in 2027 and 2028, but</w:t>
      </w:r>
      <w:r>
        <w:t xml:space="preserve"> </w:t>
      </w:r>
      <w:r>
        <w:rPr>
          <w:b/>
          <w:bCs/>
        </w:rPr>
        <w:t xml:space="preserve">the decisions have to be made now</w:t>
      </w:r>
      <w:r>
        <w:t xml:space="preserve">:</w:t>
      </w:r>
      <w:r>
        <w:t xml:space="preserve"> </w:t>
      </w:r>
      <w:r>
        <w:t xml:space="preserve">- Reformulating below the 5g/100mL threshold is a full R&amp;D, supply-chain and sensory</w:t>
      </w:r>
      <w:r>
        <w:t xml:space="preserve"> </w:t>
      </w:r>
      <w:r>
        <w:t xml:space="preserve">validation programme, with a lead time usually measured in years;</w:t>
      </w:r>
      <w:r>
        <w:t xml:space="preserve"> </w:t>
      </w:r>
      <w:r>
        <w:t xml:space="preserve">- The 2027 price architecture, trade terms and promotional budget are being set today;</w:t>
      </w:r>
      <w:r>
        <w:t xml:space="preserve"> </w:t>
      </w:r>
      <w:r>
        <w:t xml:space="preserve">- Choosing to absorb the tax rather than reformulate is a cost that must enter the financial</w:t>
      </w:r>
      <w:r>
        <w:t xml:space="preserve"> </w:t>
      </w:r>
      <w:r>
        <w:t xml:space="preserve">model in advance.</w:t>
      </w:r>
    </w:p>
    <w:p>
      <w:pPr>
        <w:pStyle w:val="BlockText"/>
      </w:pPr>
      <w:r>
        <w:rPr>
          <w:b/>
          <w:bCs/>
        </w:rPr>
        <w:t xml:space="preserve">This is the counter-force most often missed on a premiumisation path</w:t>
      </w:r>
      <w:r>
        <w:t xml:space="preserve">: trading up often</w:t>
      </w:r>
      <w:r>
        <w:t xml:space="preserve"> </w:t>
      </w:r>
      <w:r>
        <w:t xml:space="preserve">means more sugar, heavier taste and a stronger ready-to-drink character — precisely the side</w:t>
      </w:r>
      <w:r>
        <w:t xml:space="preserve"> </w:t>
      </w:r>
      <w:r>
        <w:t xml:space="preserve">of the line that is being taxed.</w:t>
      </w:r>
    </w:p>
    <w:bookmarkEnd w:id="10"/>
    <w:bookmarkStart w:id="11" w:name="X37a9d1b77b90f6748bf1c3b07aeb3ae014a3782"/>
    <w:p>
      <w:pPr>
        <w:pStyle w:val="Heading3"/>
      </w:pPr>
      <w:r>
        <w:t xml:space="preserve">2.2 Alcohol: the law removes part of the media mix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Restriction</w:t>
            </w:r>
          </w:p>
        </w:tc>
        <w:tc>
          <w:tcPr/>
          <w:p>
            <w:pPr>
              <w:pStyle w:val="Compact"/>
            </w:pPr>
            <w:r>
              <w:t xml:space="preserve">Instrument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15% ABV and above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Advertising prohibited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Article 5(7)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Alcohol 5.5%–under 15% ABV; beer at 5.5% ABV and above</w:t>
            </w:r>
          </w:p>
        </w:tc>
        <w:tc>
          <w:tcPr/>
          <w:p>
            <w:pPr>
              <w:pStyle w:val="Compact"/>
            </w:pPr>
            <w:r>
              <w:t xml:space="preserve">Not in cultural, theatrical, cinematic or sporting activities; not on outdoor advertising media (business signage at alcohol and beer premises excepted)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Article 12</w:t>
            </w:r>
          </w:p>
        </w:tc>
      </w:tr>
    </w:tbl>
    <w:p>
      <w:pPr>
        <w:pStyle w:val="BodyText"/>
      </w:pPr>
      <w:r>
        <w:rPr>
          <w:b/>
          <w:bCs/>
        </w:rPr>
        <w:t xml:space="preserve">What this means for strategy</w:t>
      </w:r>
      <w:r>
        <w:t xml:space="preserve">: spirits have</w:t>
      </w:r>
      <w:r>
        <w:t xml:space="preserve"> </w:t>
      </w:r>
      <w:r>
        <w:rPr>
          <w:b/>
          <w:bCs/>
        </w:rPr>
        <w:t xml:space="preserve">no lawful advertising route in Vietnam</w:t>
      </w:r>
      <w:r>
        <w:t xml:space="preserve">.</w:t>
      </w:r>
      <w:r>
        <w:t xml:space="preserve"> </w:t>
      </w:r>
      <w:r>
        <w:t xml:space="preserve">Brand equity in that category can only be built through product, packaging, distribution,</w:t>
      </w:r>
      <w:r>
        <w:t xml:space="preserve"> </w:t>
      </w:r>
      <w:r>
        <w:t xml:space="preserve">occasion, word of mouth and lawful non-advertising forms.</w:t>
      </w:r>
      <w:r>
        <w:t xml:space="preserve"> </w:t>
      </w:r>
      <w:r>
        <w:rPr>
          <w:b/>
          <w:bCs/>
        </w:rPr>
        <w:t xml:space="preserve">Porting a media mix that works elsewhere runs into the law, not into the budget.</w:t>
      </w:r>
    </w:p>
    <w:bookmarkEnd w:id="11"/>
    <w:bookmarkStart w:id="12" w:name="X96538f841e87ffdd388c354dda593523bcd6440"/>
    <w:p>
      <w:pPr>
        <w:pStyle w:val="Heading3"/>
      </w:pPr>
      <w:r>
        <w:t xml:space="preserve">2.3 Consumer protection was rewritten (1 July 2024)</w:t>
      </w:r>
    </w:p>
    <w:p>
      <w:pPr>
        <w:pStyle w:val="FirstParagraph"/>
      </w:pPr>
      <w:r>
        <w:rPr>
          <w:b/>
          <w:bCs/>
        </w:rPr>
        <w:t xml:space="preserve">Law 19/2023/QH15</w:t>
      </w:r>
      <w:r>
        <w:t xml:space="preserve"> </w:t>
      </w:r>
      <w:r>
        <w:t xml:space="preserve">(passed 20 June 2023, in force</w:t>
      </w:r>
      <w:r>
        <w:t xml:space="preserve"> </w:t>
      </w:r>
      <w:r>
        <w:rPr>
          <w:b/>
          <w:bCs/>
        </w:rPr>
        <w:t xml:space="preserve">1 July 2024</w:t>
      </w:r>
      <w:r>
        <w:t xml:space="preserve">) runs to</w:t>
      </w:r>
      <w:r>
        <w:t xml:space="preserve"> </w:t>
      </w:r>
      <w:r>
        <w:rPr>
          <w:b/>
          <w:bCs/>
        </w:rPr>
        <w:t xml:space="preserve">7 chapters and</w:t>
      </w:r>
      <w:r>
        <w:rPr>
          <w:b/>
          <w:bCs/>
        </w:rPr>
        <w:t xml:space="preserve"> </w:t>
      </w:r>
      <w:r>
        <w:rPr>
          <w:b/>
          <w:bCs/>
        </w:rPr>
        <w:t xml:space="preserve">80 articles</w:t>
      </w:r>
      <w:r>
        <w:t xml:space="preserve">, expanding from the 51 articles of the 2010 law and adding a third chapter on</w:t>
      </w:r>
      <w:r>
        <w:t xml:space="preserve"> </w:t>
      </w:r>
      <w:r>
        <w:t xml:space="preserve">traders’ responsibilities in</w:t>
      </w:r>
      <w:r>
        <w:t xml:space="preserve"> </w:t>
      </w:r>
      <w:r>
        <w:rPr>
          <w:b/>
          <w:bCs/>
        </w:rPr>
        <w:t xml:space="preserve">special transactions</w:t>
      </w:r>
      <w:r>
        <w:t xml:space="preserve">.</w:t>
      </w:r>
    </w:p>
    <w:p>
      <w:pPr>
        <w:pStyle w:val="BodyText"/>
      </w:pPr>
      <w:r>
        <w:t xml:space="preserve">Three points bear directly on brand decisions: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Seven groups of vulnerable consumers are identified</w:t>
      </w:r>
      <w:r>
        <w:t xml:space="preserve">: the elderly; persons with</w:t>
      </w:r>
      <w:r>
        <w:t xml:space="preserve"> </w:t>
      </w:r>
      <w:r>
        <w:t xml:space="preserve">disabilities; children; ethnic minorities; residents of remote and economically</w:t>
      </w:r>
      <w:r>
        <w:t xml:space="preserve"> </w:t>
      </w:r>
      <w:r>
        <w:t xml:space="preserve">disadvantaged areas; pregnant women and those caring for children under 36 months; and</w:t>
      </w:r>
      <w:r>
        <w:t xml:space="preserve"> </w:t>
      </w:r>
      <w:r>
        <w:t xml:space="preserve">the seriously ill and members of poor households.</w:t>
      </w:r>
      <w:r>
        <w:t xml:space="preserve"> </w:t>
      </w:r>
      <w:r>
        <w:rPr>
          <w:b/>
          <w:bCs/>
        </w:rPr>
        <w:t xml:space="preserve">Marketing and selling to these groups</w:t>
      </w:r>
      <w:r>
        <w:rPr>
          <w:b/>
          <w:bCs/>
        </w:rPr>
        <w:t xml:space="preserve"> </w:t>
      </w:r>
      <w:r>
        <w:rPr>
          <w:b/>
          <w:bCs/>
        </w:rPr>
        <w:t xml:space="preserve">carries additional constraints.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New prohibited conduct for multi-level sellers and digital platform operators</w:t>
      </w:r>
      <w:r>
        <w:t xml:space="preserve">, including</w:t>
      </w:r>
      <w:r>
        <w:t xml:space="preserve"> </w:t>
      </w:r>
      <w:r>
        <w:rPr>
          <w:b/>
          <w:bCs/>
        </w:rPr>
        <w:t xml:space="preserve">a ban on using influencers to promote products without disclosing the sponsorship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New duties to ensure product safety, measurement, quantity, weight, quality and function</w:t>
      </w:r>
      <w:r>
        <w:t xml:space="preserve"> </w:t>
      </w:r>
      <w:r>
        <w:t xml:space="preserve">—</w:t>
      </w:r>
      <w:r>
        <w:t xml:space="preserve"> </w:t>
      </w:r>
      <w:r>
        <w:t xml:space="preserve">which map directly onto the claims a premiumisation narrative most relies on.</w:t>
      </w:r>
    </w:p>
    <w:bookmarkEnd w:id="12"/>
    <w:bookmarkStart w:id="13" w:name="X30017f650d2635cb176568a9f50282726f74e28"/>
    <w:p>
      <w:pPr>
        <w:pStyle w:val="Heading3"/>
      </w:pPr>
      <w:r>
        <w:t xml:space="preserve">2.4 Membership and data: the governing law changes on 1 January 2026</w:t>
      </w:r>
    </w:p>
    <w:p>
      <w:pPr>
        <w:pStyle w:val="FirstParagraph"/>
      </w:pPr>
      <w:r>
        <w:rPr>
          <w:b/>
          <w:bCs/>
        </w:rPr>
        <w:t xml:space="preserve">Law 91/2025/QH15</w:t>
      </w:r>
      <w:r>
        <w:t xml:space="preserve"> </w:t>
      </w:r>
      <w:r>
        <w:t xml:space="preserve">(Personal Data Protection) takes effect on</w:t>
      </w:r>
      <w:r>
        <w:t xml:space="preserve"> </w:t>
      </w:r>
      <w:r>
        <w:rPr>
          <w:b/>
          <w:bCs/>
        </w:rPr>
        <w:t xml:space="preserve">1 January 2026</w:t>
      </w:r>
      <w:r>
        <w:t xml:space="preserve">, with</w:t>
      </w:r>
      <w:r>
        <w:t xml:space="preserve"> </w:t>
      </w:r>
      <w:r>
        <w:rPr>
          <w:b/>
          <w:bCs/>
        </w:rPr>
        <w:t xml:space="preserve">Decree 356/2025/NĐ-CP</w:t>
      </w:r>
      <w:r>
        <w:t xml:space="preserve">. It establishes the rights to know, to consent, to access, to rectify</w:t>
      </w:r>
      <w:r>
        <w:t xml:space="preserve"> </w:t>
      </w:r>
      <w:r>
        <w:t xml:space="preserve">and to request erasure, and</w:t>
      </w:r>
      <w:r>
        <w:t xml:space="preserve"> </w:t>
      </w:r>
      <w:r>
        <w:rPr>
          <w:b/>
          <w:bCs/>
        </w:rPr>
        <w:t xml:space="preserve">applies to foreign organisations processing Vietnamese citizens’</w:t>
      </w:r>
      <w:r>
        <w:rPr>
          <w:b/>
          <w:bCs/>
        </w:rPr>
        <w:t xml:space="preserve"> </w:t>
      </w:r>
      <w:r>
        <w:rPr>
          <w:b/>
          <w:bCs/>
        </w:rPr>
        <w:t xml:space="preserve">personal data</w:t>
      </w:r>
      <w:r>
        <w:t xml:space="preserve">.</w:t>
      </w:r>
    </w:p>
    <w:p>
      <w:pPr>
        <w:pStyle w:val="BodyText"/>
      </w:pPr>
      <w:r>
        <w:t xml:space="preserve">Membership schemes, CRM, loyalty programmes and personalised recommendation are the core</w:t>
      </w:r>
      <w:r>
        <w:t xml:space="preserve"> </w:t>
      </w:r>
      <w:r>
        <w:t xml:space="preserve">infrastructure of a premiumisation play, and all of it now sits within this law.</w:t>
      </w:r>
      <w:r>
        <w:t xml:space="preserve"> </w:t>
      </w:r>
      <w:r>
        <w:rPr>
          <w:b/>
          <w:bCs/>
        </w:rPr>
        <w:t xml:space="preserve">Data compliance is not an IT matter; it is the precondition for the brand asset surviving.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5" w:name="iii.-two-verifiable-anchors-for-pricing"/>
    <w:p>
      <w:pPr>
        <w:pStyle w:val="Heading2"/>
      </w:pPr>
      <w:r>
        <w:t xml:space="preserve">III. Two Verifiable Anchors for Pricing</w:t>
      </w:r>
    </w:p>
    <w:p>
      <w:pPr>
        <w:pStyle w:val="FirstParagraph"/>
      </w:pPr>
      <w:r>
        <w:t xml:space="preserve">When setting price tiers, at least two numbers can be traced to a source: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Anchor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Instrument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Regional minimum wages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+7.2%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w:r>
              <w:rPr>
                <w:b/>
                <w:bCs/>
              </w:rPr>
              <w:t xml:space="preserve">1 January 2026</w:t>
            </w:r>
          </w:p>
        </w:tc>
        <w:tc>
          <w:tcPr/>
          <w:p>
            <w:pPr>
              <w:pStyle w:val="Compact"/>
            </w:pPr>
            <w:r>
              <w:t xml:space="preserve">Decree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Average CPI increase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3.31%</w:t>
            </w:r>
            <w:r>
              <w:t xml:space="preserve"> </w:t>
            </w:r>
            <w:r>
              <w:t xml:space="preserve">in 2025</w:t>
            </w:r>
          </w:p>
        </w:tc>
        <w:tc>
          <w:tcPr/>
          <w:p>
            <w:pPr>
              <w:pStyle w:val="Compact"/>
            </w:pPr>
            <w:r>
              <w:t xml:space="preserve">Full-year 2025 statistical report</w:t>
            </w:r>
          </w:p>
        </w:tc>
      </w:tr>
    </w:tbl>
    <w:p>
      <w:pPr>
        <w:pStyle w:val="BodyText"/>
      </w:pPr>
      <w:r>
        <w:rPr>
          <w:b/>
          <w:bCs/>
        </w:rPr>
        <w:t xml:space="preserve">A 7.2% minimum-wage rise against 3.31% CPI</w:t>
      </w:r>
      <w:r>
        <w:t xml:space="preserve"> </w:t>
      </w:r>
      <w:r>
        <w:t xml:space="preserve">is directional information: nominal purchasing</w:t>
      </w:r>
      <w:r>
        <w:t xml:space="preserve"> </w:t>
      </w:r>
      <w:r>
        <w:t xml:space="preserve">power at the lower income band is improving.</w:t>
      </w:r>
      <w:r>
        <w:t xml:space="preserve"> </w:t>
      </w:r>
      <w:r>
        <w:rPr>
          <w:b/>
          <w:bCs/>
        </w:rPr>
        <w:t xml:space="preserve">But note that minimum wages reach only the</w:t>
      </w:r>
      <w:r>
        <w:rPr>
          <w:b/>
          <w:bCs/>
        </w:rPr>
        <w:t xml:space="preserve"> </w:t>
      </w:r>
      <w:r>
        <w:rPr>
          <w:b/>
          <w:bCs/>
        </w:rPr>
        <w:t xml:space="preserve">population to which the statutory floor applies; the figure is not an economy-wide income</w:t>
      </w:r>
      <w:r>
        <w:rPr>
          <w:b/>
          <w:bCs/>
        </w:rPr>
        <w:t xml:space="preserve"> </w:t>
      </w:r>
      <w:r>
        <w:rPr>
          <w:b/>
          <w:bCs/>
        </w:rPr>
        <w:t xml:space="preserve">growth rate.</w:t>
      </w:r>
    </w:p>
    <w:p>
      <w:r>
        <w:pict>
          <v:rect style="width:0;height:1.5pt" o:hralign="center" o:hrstd="t" o:hr="t"/>
        </w:pict>
      </w:r>
    </w:p>
    <w:bookmarkEnd w:id="15"/>
    <w:bookmarkStart w:id="16" w:name="X75a276ae98921e2c2359e5710b1e373448f791f"/>
    <w:p>
      <w:pPr>
        <w:pStyle w:val="Heading2"/>
      </w:pPr>
      <w:r>
        <w:t xml:space="preserve">IV. Method: Decomposing</w:t>
      </w:r>
      <w:r>
        <w:t xml:space="preserve"> </w:t>
      </w:r>
      <w:r>
        <w:t xml:space="preserve">“Premiumisation”</w:t>
      </w:r>
      <w:r>
        <w:t xml:space="preserve"> </w:t>
      </w:r>
      <w:r>
        <w:t xml:space="preserve">into Testable Questions</w:t>
      </w:r>
    </w:p>
    <w:p>
      <w:pPr>
        <w:pStyle w:val="FirstParagraph"/>
      </w:pPr>
      <w:r>
        <w:t xml:space="preserve">Rather than accepting a single aggregate judgement, split it into four questions, each of which</w:t>
      </w:r>
      <w:r>
        <w:t xml:space="preserve"> </w:t>
      </w:r>
      <w:r>
        <w:t xml:space="preserve">must come with a source: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Who is trading up?</w:t>
      </w:r>
      <w:r>
        <w:t xml:space="preserve"> </w:t>
      </w:r>
      <w:r>
        <w:t xml:space="preserve">— income band, geography, age. On what denominator, from what source?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Trading up to what?</w:t>
      </w:r>
      <w:r>
        <w:t xml:space="preserve"> </w:t>
      </w:r>
      <w:r>
        <w:t xml:space="preserve">— from which price point to which, displacing whom? Is it category</w:t>
      </w:r>
      <w:r>
        <w:t xml:space="preserve"> </w:t>
      </w:r>
      <w:r>
        <w:t xml:space="preserve">upgrade or brand switching?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Bought where?</w:t>
      </w:r>
      <w:r>
        <w:t xml:space="preserve"> </w:t>
      </w:r>
      <w:r>
        <w:t xml:space="preserve">— channel structure, noting the</w:t>
      </w:r>
      <w:r>
        <w:t xml:space="preserve"> </w:t>
      </w:r>
      <w:r>
        <w:rPr>
          <w:b/>
          <w:bCs/>
        </w:rPr>
        <w:t xml:space="preserve">1 July 2026</w:t>
      </w:r>
      <w:r>
        <w:t xml:space="preserve"> </w:t>
      </w:r>
      <w:r>
        <w:t xml:space="preserve">e-commerce law boundary</w:t>
      </w:r>
      <w:r>
        <w:t xml:space="preserve"> </w:t>
      </w:r>
      <w:r>
        <w:t xml:space="preserve">(Law 122/2025/QH15).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Why should anyone believe you?</w:t>
      </w:r>
      <w:r>
        <w:t xml:space="preserve"> </w:t>
      </w:r>
      <w:r>
        <w:t xml:space="preserve">— align with the four hard constraints in section II:</w:t>
      </w:r>
      <w:r>
        <w:t xml:space="preserve"> </w:t>
      </w:r>
      <w:r>
        <w:t xml:space="preserve">whether your claims sit within what the law permits, whether they touch the additional</w:t>
      </w:r>
      <w:r>
        <w:t xml:space="preserve"> </w:t>
      </w:r>
      <w:r>
        <w:t xml:space="preserve">constraints around the seven vulnerable groups, and whether the data was lawfully obtained.</w:t>
      </w:r>
    </w:p>
    <w:p>
      <w:pPr>
        <w:pStyle w:val="BlockText"/>
      </w:pPr>
      <w:r>
        <w:rPr>
          <w:b/>
          <w:bCs/>
        </w:rPr>
        <w:t xml:space="preserve">The fourth question is the most often skipped and the most expensive.</w:t>
      </w:r>
      <w:r>
        <w:t xml:space="preserve"> </w:t>
      </w:r>
      <w:r>
        <w:t xml:space="preserve">Getting the first</w:t>
      </w:r>
      <w:r>
        <w:t xml:space="preserve"> </w:t>
      </w:r>
      <w:r>
        <w:t xml:space="preserve">three wrong costs efficiency; getting the fourth wrong is a compliance incident.</w:t>
      </w:r>
    </w:p>
    <w:p>
      <w:r>
        <w:pict>
          <v:rect style="width:0;height:1.5pt" o:hralign="center" o:hrstd="t" o:hr="t"/>
        </w:pict>
      </w:r>
    </w:p>
    <w:bookmarkEnd w:id="16"/>
    <w:bookmarkStart w:id="17" w:name="v.-common-misreadings"/>
    <w:p>
      <w:pPr>
        <w:pStyle w:val="Heading2"/>
      </w:pPr>
      <w:r>
        <w:t xml:space="preserve">V. Common Misreadings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Misreading</w:t>
            </w:r>
          </w:p>
        </w:tc>
        <w:tc>
          <w:tcPr/>
          <w:p>
            <w:pPr>
              <w:pStyle w:val="Compact"/>
            </w:pPr>
            <w:r>
              <w:t xml:space="preserve">Why it fails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Sizing the premium segment straight from GDP per capita</w:t>
            </w:r>
          </w:p>
        </w:tc>
        <w:tc>
          <w:tcPr/>
          <w:p>
            <w:pPr>
              <w:pStyle w:val="Compact"/>
            </w:pPr>
            <w:r>
              <w:t xml:space="preserve">GDP per capita is neither disposable income nor the median; a mean cannot yield a quantile without knowing the distribution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Copying a premium media mix from another market</w:t>
            </w:r>
          </w:p>
        </w:tc>
        <w:tc>
          <w:tcPr/>
          <w:p>
            <w:pPr>
              <w:pStyle w:val="Compact"/>
            </w:pPr>
            <w:r>
              <w:t xml:space="preserve">Alcohol advertising has explicit statutory no-go zones in Vietnam (§2.2)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Treating the sugary-drinks tax as a 2027 problem</w:t>
            </w:r>
          </w:p>
        </w:tc>
        <w:tc>
          <w:tcPr/>
          <w:p>
            <w:pPr>
              <w:pStyle w:val="Compact"/>
            </w:pPr>
            <w:r>
              <w:t xml:space="preserve">Reformulation and price-architecture lead times run to years (§2.1)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Treating undisclosed sponsorship as a 2026 rule</w:t>
            </w:r>
          </w:p>
        </w:tc>
        <w:tc>
          <w:tcPr/>
          <w:p>
            <w:pPr>
              <w:pStyle w:val="Compact"/>
            </w:pPr>
            <w:r>
              <w:t xml:space="preserve">It has been prohibited conduct since 1 July 2024 (§2.3)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Assuming offshore data storage avoids the regime</w:t>
            </w:r>
          </w:p>
        </w:tc>
        <w:tc>
          <w:tcPr/>
          <w:p>
            <w:pPr>
              <w:pStyle w:val="Compact"/>
            </w:pPr>
            <w:r>
              <w:t xml:space="preserve">The law reaches foreign organisations processing Vietnamese citizens’ data (§2.4)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vi.-legal-basis-cited-in-this-note"/>
    <w:p>
      <w:pPr>
        <w:pStyle w:val="Heading2"/>
      </w:pPr>
      <w:r>
        <w:t xml:space="preserve">VI. Legal Basis Cited in This Note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Instrument</w:t>
            </w:r>
          </w:p>
        </w:tc>
        <w:tc>
          <w:tcPr/>
          <w:p>
            <w:pPr>
              <w:pStyle w:val="Compact"/>
            </w:pPr>
            <w:r>
              <w:t xml:space="preserve">Effective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Special consumption tax (sugary drinks, alcohol, tobacco)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  <w:tc>
          <w:tcPr/>
          <w:p>
            <w:pPr>
              <w:pStyle w:val="Compact"/>
            </w:pPr>
            <w:r>
              <w:t xml:space="preserve">01/01/2026 (beverage rates phased 2027 / 2028)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Alcohol advertising restrictions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Articles 5 and 12</w:t>
            </w:r>
          </w:p>
        </w:tc>
        <w:tc>
          <w:tcPr/>
          <w:p>
            <w:pPr>
              <w:pStyle w:val="Compact"/>
            </w:pPr>
            <w:r>
              <w:t xml:space="preserve">01/01/2020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Consumer protection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19/2023/QH15</w:t>
            </w:r>
          </w:p>
        </w:tc>
        <w:tc>
          <w:tcPr/>
          <w:p>
            <w:pPr>
              <w:pStyle w:val="Compact"/>
            </w:pPr>
            <w:r>
              <w:t xml:space="preserve">01/07/2024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Personal data protection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91/2025/QH15</w:t>
            </w:r>
            <w:r>
              <w:t xml:space="preserve"> </w:t>
            </w:r>
            <w:r>
              <w:t xml:space="preserve">· Decree</w:t>
            </w:r>
            <w:r>
              <w:t xml:space="preserve"> </w:t>
            </w:r>
            <w:r>
              <w:rPr>
                <w:b/>
                <w:bCs/>
              </w:rPr>
              <w:t xml:space="preserve">356/2025/NĐ-CP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E-commerce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122/2025/QH15</w:t>
            </w:r>
          </w:p>
        </w:tc>
        <w:tc>
          <w:tcPr/>
          <w:p>
            <w:pPr>
              <w:pStyle w:val="Compact"/>
            </w:pPr>
            <w:r>
              <w:t xml:space="preserve">01/07/2026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Regional minimum wages</w:t>
            </w:r>
          </w:p>
        </w:tc>
        <w:tc>
          <w:tcPr/>
          <w:p>
            <w:pPr>
              <w:pStyle w:val="Compact"/>
            </w:pPr>
            <w:r>
              <w:t xml:space="preserve">Decree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18 September 2026.</w:t>
      </w:r>
    </w:p>
    <w:p>
      <w:r>
        <w:pict>
          <v:rect style="width:0;height:1.5pt" o:hralign="center" o:hrstd="t" o:hr="t"/>
        </w:pict>
      </w:r>
    </w:p>
    <w:bookmarkEnd w:id="18"/>
    <w:bookmarkStart w:id="19" w:name="vii.-how-to-use-this-note-and-its-limits"/>
    <w:p>
      <w:pPr>
        <w:pStyle w:val="Heading2"/>
      </w:pPr>
      <w:r>
        <w:t xml:space="preserve">VII. How to Use This Note, and Its Limits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This is general reference material and does not constitute legal advice, investment advice</w:t>
      </w:r>
      <w:r>
        <w:rPr>
          <w:b/>
          <w:bCs/>
        </w:rPr>
        <w:t xml:space="preserve"> </w:t>
      </w:r>
      <w:r>
        <w:rPr>
          <w:b/>
          <w:bCs/>
        </w:rPr>
        <w:t xml:space="preserve">or a market research conclusion.</w:t>
      </w:r>
      <w:r>
        <w:t xml:space="preserve"> </w:t>
      </w:r>
      <w:r>
        <w:t xml:space="preserve">For specific products, claims or campaigns, obtain the</w:t>
      </w:r>
      <w:r>
        <w:t xml:space="preserve"> </w:t>
      </w:r>
      <w:r>
        <w:t xml:space="preserve">advice of a Vietnamese-qualified lawyer and a local market adviser.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What this note deliberately omits</w:t>
      </w:r>
      <w:r>
        <w:t xml:space="preserve">, because no citable official source had been verified</w:t>
      </w:r>
      <w:r>
        <w:t xml:space="preserve"> </w:t>
      </w:r>
      <w:r>
        <w:t xml:space="preserve">as at the verification date:</w:t>
      </w:r>
    </w:p>
    <w:p>
      <w:pPr>
        <w:pStyle w:val="Compact"/>
        <w:numPr>
          <w:ilvl w:val="1"/>
          <w:numId w:val="1006"/>
        </w:numPr>
      </w:pPr>
      <w:r>
        <w:t xml:space="preserve">The urbanisation rate (absent from the statistical report; secondary sources conflict)</w:t>
      </w:r>
    </w:p>
    <w:p>
      <w:pPr>
        <w:pStyle w:val="Compact"/>
        <w:numPr>
          <w:ilvl w:val="1"/>
          <w:numId w:val="1006"/>
        </w:numPr>
      </w:pPr>
      <w:r>
        <w:t xml:space="preserve">The share of goods retail within total retail (a secondary source gives 76.1%, but the</w:t>
      </w:r>
      <w:r>
        <w:t xml:space="preserve"> </w:t>
      </w:r>
      <w:r>
        <w:t xml:space="preserve">official annual report does not break it out, so it is not used here)</w:t>
      </w:r>
    </w:p>
    <w:p>
      <w:pPr>
        <w:pStyle w:val="Compact"/>
        <w:numPr>
          <w:ilvl w:val="1"/>
          <w:numId w:val="1006"/>
        </w:numPr>
      </w:pPr>
      <w:r>
        <w:t xml:space="preserve">The size and growth of the middle class, and income-distribution quantiles</w:t>
      </w:r>
    </w:p>
    <w:p>
      <w:pPr>
        <w:pStyle w:val="Compact"/>
        <w:numPr>
          <w:ilvl w:val="1"/>
          <w:numId w:val="1006"/>
        </w:numPr>
      </w:pPr>
      <w:r>
        <w:t xml:space="preserve">Growth rates and market shares by consumer category</w:t>
      </w:r>
    </w:p>
    <w:p>
      <w:pPr>
        <w:pStyle w:val="Compact"/>
        <w:numPr>
          <w:ilvl w:val="1"/>
          <w:numId w:val="1006"/>
        </w:numPr>
      </w:pPr>
      <w:r>
        <w:t xml:space="preserve">Consumer research findings (attitudes, preferences, willingness to pay)</w:t>
      </w:r>
    </w:p>
    <w:p>
      <w:pPr>
        <w:pStyle w:val="Compact"/>
        <w:numPr>
          <w:ilvl w:val="1"/>
          <w:numId w:val="1006"/>
        </w:numPr>
      </w:pPr>
      <w:r>
        <w:t xml:space="preserve">Named brand cases and attributions of success or failure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Under this channel’s editorial rule an unverified figure is left out</w:t>
      </w:r>
      <w:r>
        <w:t xml:space="preserve"> </w:t>
      </w:r>
      <w:r>
        <w:t xml:space="preserve">rather than filled</w:t>
      </w:r>
      <w:r>
        <w:t xml:space="preserve"> </w:t>
      </w:r>
      <w:r>
        <w:t xml:space="preserve">in with a plausible-looking number. Section IV offers a way to ask the questions; it is not</w:t>
      </w:r>
      <w:r>
        <w:t xml:space="preserve"> </w:t>
      </w:r>
      <w:r>
        <w:t xml:space="preserve">a substitute for that data.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The figures here will date.</w:t>
      </w:r>
      <w:r>
        <w:t xml:space="preserve"> </w:t>
      </w:r>
      <w:r>
        <w:t xml:space="preserve">Section I is full-year 2025 data; section II contains two</w:t>
      </w:r>
      <w:r>
        <w:t xml:space="preserve"> </w:t>
      </w:r>
      <w:r>
        <w:t xml:space="preserve">rates that only take effect in 2027 and 2028.</w:t>
      </w:r>
      <w:r>
        <w:t xml:space="preserve"> </w:t>
      </w:r>
      <w:r>
        <w:rPr>
          <w:b/>
          <w:bCs/>
        </w:rPr>
        <w:t xml:space="preserve">This document is on the quarterly review list.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This note contains no information relating to any particular company.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Premiumisation and Brand Strategy in Vietnam: Verifiable Baselines and the 2026 Hard Constraints</dc:title>
  <dc:creator/>
  <dc:language>en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