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Nâng cấp tiêu dùng và chiến lược thương hiệu tại Việt Nam: số liệu nền kiểm chứng được và các ràng buộc cứng năm 2026</w:t>
      </w:r>
    </w:p>
    <w:bookmarkStart w:id="20" w:name="Xdb318e83a1e0b9f7608819fccfd04e40497378f"/>
    <w:p>
      <w:pPr>
        <w:pStyle w:val="Heading1"/>
      </w:pPr>
      <w:r>
        <w:t xml:space="preserve">Nâng cấp tiêu dùng và chiến lược thương hiệu tại Việt Nam: số liệu nền kiểm chứng được và các ràng buộc cứng năm 2026</w:t>
      </w:r>
    </w:p>
    <w:p>
      <w:pPr>
        <w:pStyle w:val="FirstParagraph"/>
      </w:pPr>
      <w:r>
        <w:rPr>
          <w:b/>
          <w:bCs/>
        </w:rPr>
        <w:t xml:space="preserve">Bản 2026</w:t>
      </w:r>
    </w:p>
    <w:p>
      <w:pPr>
        <w:pStyle w:val="BodyText"/>
      </w:pPr>
      <w:r>
        <w:rPr>
          <w:b/>
          <w:bCs/>
        </w:rPr>
        <w:t xml:space="preserve">Ngày rà soát quy định pháp luật: 18/09/2026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Vì sao tài liệu này không giống một bản</w:t>
      </w:r>
      <w:r>
        <w:rPr>
          <w:b/>
          <w:bCs/>
        </w:rPr>
        <w:t xml:space="preserve"> </w:t>
      </w:r>
      <w:r>
        <w:rPr>
          <w:b/>
          <w:bCs/>
        </w:rPr>
        <w:t xml:space="preserve">“chiến lược thương hiệu”</w:t>
      </w:r>
      <w:r>
        <w:rPr>
          <w:b/>
          <w:bCs/>
        </w:rPr>
        <w:t xml:space="preserve"> </w:t>
      </w:r>
      <w:r>
        <w:rPr>
          <w:b/>
          <w:bCs/>
        </w:rPr>
        <w:t xml:space="preserve">thông thường.</w:t>
      </w:r>
    </w:p>
    <w:p>
      <w:pPr>
        <w:pStyle w:val="BlockText"/>
      </w:pPr>
      <w:r>
        <w:t xml:space="preserve">Phần lớn tài liệu về nâng cấp tiêu dùng tại Việt Nam được dựng từ ba thứ: một tỷ lệ tăng</w:t>
      </w:r>
      <w:r>
        <w:t xml:space="preserve"> </w:t>
      </w:r>
      <w:r>
        <w:t xml:space="preserve">trưởng, vài biểu đồ xu hướng, và một chuỗi nhận định kiểu</w:t>
      </w:r>
      <w:r>
        <w:t xml:space="preserve"> </w:t>
      </w:r>
      <w:r>
        <w:t xml:space="preserve">“Gen Z sẵn sàng trả nhiều hơn cho</w:t>
      </w:r>
      <w:r>
        <w:t xml:space="preserve"> </w:t>
      </w:r>
      <w:r>
        <w:t xml:space="preserve">trải nghiệm”</w:t>
      </w:r>
      <w:r>
        <w:t xml:space="preserve">. Vấn đề là</w:t>
      </w:r>
      <w:r>
        <w:t xml:space="preserve"> </w:t>
      </w:r>
      <w:r>
        <w:rPr>
          <w:b/>
          <w:bCs/>
        </w:rPr>
        <w:t xml:space="preserve">những con số đó thường không truy được nguồn, cách tính lại không</w:t>
      </w:r>
      <w:r>
        <w:rPr>
          <w:b/>
          <w:bCs/>
        </w:rPr>
        <w:t xml:space="preserve"> </w:t>
      </w:r>
      <w:r>
        <w:rPr>
          <w:b/>
          <w:bCs/>
        </w:rPr>
        <w:t xml:space="preserve">thống nhất</w:t>
      </w:r>
      <w:r>
        <w:t xml:space="preserve"> </w:t>
      </w:r>
      <w:r>
        <w:t xml:space="preserve">— dùng chúng để ra quyết định đầu tư và định giá chẳng khác nào đặt cược doanh</w:t>
      </w:r>
      <w:r>
        <w:t xml:space="preserve"> </w:t>
      </w:r>
      <w:r>
        <w:t xml:space="preserve">nghiệp vào một bản trình chiếu không rõ xuất xứ.</w:t>
      </w:r>
    </w:p>
    <w:p>
      <w:pPr>
        <w:pStyle w:val="BlockText"/>
      </w:pPr>
      <w:r>
        <w:t xml:space="preserve">Bản này dựng theo cách khác: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Mục I chỉ viết những con số truy được tới nguồn chính thức</w:t>
      </w:r>
      <w:r>
        <w:t xml:space="preserve">, kèm cách tính;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Mục II viết các ràng buộc cứng</w:t>
      </w:r>
      <w:r>
        <w:t xml:space="preserve"> </w:t>
      </w:r>
      <w:r>
        <w:t xml:space="preserve">— những quy định phải tuân thủ bất kể bạn nhận định xu</w:t>
      </w:r>
      <w:r>
        <w:t xml:space="preserve"> </w:t>
      </w:r>
      <w:r>
        <w:t xml:space="preserve">hướng thế nào, mỗi quy định có ngày hiệu lực rõ ràng;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Mục IV viết phương pháp</w:t>
      </w:r>
      <w:r>
        <w:t xml:space="preserve"> </w:t>
      </w:r>
      <w:r>
        <w:t xml:space="preserve">— cách bóc tách quyết định, không thay bạn kết luận;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Mục VII nêu rõ bản này không viết gì</w:t>
      </w:r>
      <w:r>
        <w:t xml:space="preserve">, và vì sao.</w:t>
      </w:r>
    </w:p>
    <w:p>
      <w:pPr>
        <w:pStyle w:val="BlockText"/>
      </w:pPr>
      <w:r>
        <w:rPr>
          <w:b/>
          <w:bCs/>
        </w:rPr>
        <w:t xml:space="preserve">Nhận định có thể sai, số liệu nền thì không được sai.</w:t>
      </w:r>
      <w:r>
        <w:t xml:space="preserve"> </w:t>
      </w:r>
      <w:r>
        <w:t xml:space="preserve">Nền sai thì mọi bước sau đều sai theo.</w:t>
      </w:r>
    </w:p>
    <w:p>
      <w:r>
        <w:pict>
          <v:rect style="width:0;height:1.5pt" o:hralign="center" o:hrstd="t" o:hr="t"/>
        </w:pict>
      </w:r>
    </w:p>
    <w:bookmarkStart w:id="9" w:name="Xe089476c80034f0452a2fd1f5f79958e2eb7ff7"/>
    <w:p>
      <w:pPr>
        <w:pStyle w:val="Heading2"/>
      </w:pPr>
      <w:r>
        <w:t xml:space="preserve">I. Số liệu nền kiểm chứng được (cả năm 2025, theo nguồn chính thức)</w:t>
      </w:r>
    </w:p>
    <w:p>
      <w:pPr>
        <w:pStyle w:val="FirstParagraph"/>
      </w:pPr>
      <w:r>
        <w:t xml:space="preserve">Các số dưới đây lấy từ báo cáo tình hình kinh tế - xã hội quý IV và năm 2025 của cơ quan</w:t>
      </w:r>
      <w:r>
        <w:t xml:space="preserve"> </w:t>
      </w:r>
      <w:r>
        <w:t xml:space="preserve">thống kê Việt Nam, công bố trên cổng thông tin Chính phủ.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Chỉ tiêu</w:t>
            </w:r>
          </w:p>
        </w:tc>
        <w:tc>
          <w:tcPr/>
          <w:p>
            <w:pPr>
              <w:pStyle w:val="Compact"/>
            </w:pPr>
            <w:r>
              <w:t xml:space="preserve">Cả năm 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Tăng trưởng GDP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8,02%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GDP bình quân đầu người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5.026 USD</w:t>
            </w:r>
            <w:r>
              <w:t xml:space="preserve"> </w:t>
            </w:r>
            <w:r>
              <w:t xml:space="preserve">(giá hiện hành)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Dân số trung bình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102,3 triệu người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CPI bình quân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+3,31%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Tổng mức bán lẻ hàng hóa và doanh thu dịch vụ tiêu dùng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7.008,9 nghìn tỷ đồng</w:t>
            </w:r>
            <w:r>
              <w:t xml:space="preserve">, tăng</w:t>
            </w:r>
            <w:r>
              <w:t xml:space="preserve"> </w:t>
            </w:r>
            <w:r>
              <w:rPr>
                <w:b/>
                <w:bCs/>
              </w:rPr>
              <w:t xml:space="preserve">9,2%</w:t>
            </w:r>
          </w:p>
        </w:tc>
      </w:tr>
    </w:tbl>
    <w:p>
      <w:pPr>
        <w:pStyle w:val="BodyText"/>
      </w:pPr>
      <w:r>
        <w:rPr>
          <w:b/>
          <w:bCs/>
        </w:rPr>
        <w:t xml:space="preserve">Cách đọc năm con số này: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GDP bình quân đầu người 5.026 USD</w:t>
      </w:r>
      <w:r>
        <w:t xml:space="preserve"> </w:t>
      </w:r>
      <w:r>
        <w:t xml:space="preserve">là mức thường được viện dẫn quanh một ngưỡng nào đó.</w:t>
      </w:r>
      <w:r>
        <w:t xml:space="preserve"> </w:t>
      </w:r>
      <w:r>
        <w:t xml:space="preserve">Nhưng lưu ý đây là</w:t>
      </w:r>
      <w:r>
        <w:t xml:space="preserve"> </w:t>
      </w:r>
      <w:r>
        <w:rPr>
          <w:b/>
          <w:bCs/>
        </w:rPr>
        <w:t xml:space="preserve">GDP bình quân đầu người, không phải thu nhập khả dụng bình quân,</w:t>
      </w:r>
      <w:r>
        <w:rPr>
          <w:b/>
          <w:bCs/>
        </w:rPr>
        <w:t xml:space="preserve"> </w:t>
      </w:r>
      <w:r>
        <w:rPr>
          <w:b/>
          <w:bCs/>
        </w:rPr>
        <w:t xml:space="preserve">cũng không phải trung vị thu nhập hộ gia đình</w:t>
      </w:r>
      <w:r>
        <w:t xml:space="preserve"> </w:t>
      </w:r>
      <w:r>
        <w:t xml:space="preserve">— dùng nó để ước lượng quy mô nhóm khách</w:t>
      </w:r>
      <w:r>
        <w:t xml:space="preserve"> </w:t>
      </w:r>
      <w:r>
        <w:t xml:space="preserve">hàng mục tiêu ở một mức giá nhất định là bước nhảy phổ biến nhưng sai.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Bán lẻ +9,2% so với CPI +3,31%</w:t>
      </w:r>
      <w:r>
        <w:t xml:space="preserve"> </w:t>
      </w:r>
      <w:r>
        <w:t xml:space="preserve">cho thấy tăng trưởng không hoàn toàn đến từ giá.</w:t>
      </w:r>
      <w:r>
        <w:t xml:space="preserve"> </w:t>
      </w:r>
      <w:r>
        <w:t xml:space="preserve">Đây là bằng chứng gần trực tiếp nhất cho nhận định</w:t>
      </w:r>
      <w:r>
        <w:t xml:space="preserve"> </w:t>
      </w:r>
      <w:r>
        <w:t xml:space="preserve">“tiêu dùng đang tăng thực”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Dân số 102,3 triệu</w:t>
      </w:r>
      <w:r>
        <w:t xml:space="preserve"> </w:t>
      </w:r>
      <w:r>
        <w:t xml:space="preserve">là mẫu số. Trước khi chấp nhận bất kỳ con số</w:t>
      </w:r>
      <w:r>
        <w:t xml:space="preserve"> </w:t>
      </w:r>
      <w:r>
        <w:t xml:space="preserve">“quy mô thị trường”</w:t>
      </w:r>
      <w:r>
        <w:t xml:space="preserve"> </w:t>
      </w:r>
      <w:r>
        <w:t xml:space="preserve">nào,</w:t>
      </w:r>
      <w:r>
        <w:t xml:space="preserve"> </w:t>
      </w:r>
      <w:r>
        <w:t xml:space="preserve">hãy kiểm tra nó dùng mẫu số nào.</w:t>
      </w:r>
    </w:p>
    <w:p>
      <w:pPr>
        <w:pStyle w:val="BlockText"/>
      </w:pPr>
      <w:r>
        <w:rPr>
          <w:b/>
          <w:bCs/>
        </w:rPr>
        <w:t xml:space="preserve">Bản này không nêu tỷ lệ đô thị hóa.</w:t>
      </w:r>
      <w:r>
        <w:t xml:space="preserve"> </w:t>
      </w:r>
      <w:r>
        <w:t xml:space="preserve">Báo cáo không cung cấp, còn các nguồn thứ cấp đưa ra</w:t>
      </w:r>
      <w:r>
        <w:t xml:space="preserve"> </w:t>
      </w:r>
      <w:r>
        <w:t xml:space="preserve">cách tính không thống nhất. Theo nguyên tắc biên tập của chuyên mục, số liệu chưa kiểm chứng</w:t>
      </w:r>
      <w:r>
        <w:t xml:space="preserve"> </w:t>
      </w:r>
      <w:r>
        <w:t xml:space="preserve">thì không viết.</w:t>
      </w:r>
    </w:p>
    <w:p>
      <w:r>
        <w:pict>
          <v:rect style="width:0;height:1.5pt" o:hralign="center" o:hrstd="t" o:hr="t"/>
        </w:pict>
      </w:r>
    </w:p>
    <w:bookmarkEnd w:id="9"/>
    <w:bookmarkStart w:id="14" w:name="ii.-bốn-ràng-buộc-cứng-của-năm-2026"/>
    <w:p>
      <w:pPr>
        <w:pStyle w:val="Heading2"/>
      </w:pPr>
      <w:r>
        <w:t xml:space="preserve">II. Bốn ràng buộc cứng của năm 2026</w:t>
      </w:r>
    </w:p>
    <w:p>
      <w:pPr>
        <w:pStyle w:val="FirstParagraph"/>
      </w:pPr>
      <w:r>
        <w:t xml:space="preserve">Mục này không liên quan tới nhận định xu hướng.</w:t>
      </w:r>
      <w:r>
        <w:t xml:space="preserve"> </w:t>
      </w:r>
      <w:r>
        <w:rPr>
          <w:b/>
          <w:bCs/>
        </w:rPr>
        <w:t xml:space="preserve">Dù bạn đọc câu chuyện nâng cấp tiêu dùng thế</w:t>
      </w:r>
      <w:r>
        <w:rPr>
          <w:b/>
          <w:bCs/>
        </w:rPr>
        <w:t xml:space="preserve"> </w:t>
      </w:r>
      <w:r>
        <w:rPr>
          <w:b/>
          <w:bCs/>
        </w:rPr>
        <w:t xml:space="preserve">nào, bốn điều dưới đây vẫn áp dụng.</w:t>
      </w:r>
    </w:p>
    <w:bookmarkStart w:id="10" w:name="Xb40d111c890d68fc43f0c7c15850643ddc12993"/>
    <w:p>
      <w:pPr>
        <w:pStyle w:val="Heading3"/>
      </w:pPr>
      <w:r>
        <w:t xml:space="preserve">2.1 Nước giải khát có đường: thuế tăng theo hai bước</w:t>
      </w:r>
    </w:p>
    <w:p>
      <w:pPr>
        <w:pStyle w:val="FirstParagraph"/>
      </w:pPr>
      <w:r>
        <w:rPr>
          <w:b/>
          <w:bCs/>
        </w:rPr>
        <w:t xml:space="preserve">Luật 66/2025/QH15</w:t>
      </w:r>
      <w:r>
        <w:t xml:space="preserve"> </w:t>
      </w:r>
      <w:r>
        <w:t xml:space="preserve">(Thuế tiêu thụ đặc biệt, thông qua ngày 14/6/2025, hiệu lực 01/01/2026)</w:t>
      </w:r>
      <w:r>
        <w:t xml:space="preserve"> </w:t>
      </w:r>
      <w:r>
        <w:t xml:space="preserve">lần đầu đưa nước giải khát có đường vào diện chịu thuế tiêu thụ đặc biệt.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Hiệu lực</w:t>
            </w:r>
          </w:p>
        </w:tc>
        <w:tc>
          <w:tcPr/>
          <w:p>
            <w:pPr>
              <w:pStyle w:val="Compact"/>
            </w:pPr>
            <w:r>
              <w:t xml:space="preserve">Thuế suất</w:t>
            </w:r>
          </w:p>
        </w:tc>
        <w:tc>
          <w:tcPr/>
          <w:p>
            <w:pPr>
              <w:pStyle w:val="Compact"/>
            </w:pPr>
            <w:r>
              <w:t xml:space="preserve">Đối tượng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Nước giải khát theo TCVN có hàm lượng đường</w:t>
            </w:r>
            <w:r>
              <w:t xml:space="preserve"> </w:t>
            </w:r>
            <w:r>
              <w:rPr>
                <w:b/>
                <w:bCs/>
              </w:rPr>
              <w:t xml:space="preserve">trên 5g/100mL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Như trên</w:t>
            </w:r>
          </w:p>
        </w:tc>
      </w:tr>
    </w:tbl>
    <w:p>
      <w:pPr>
        <w:pStyle w:val="BodyText"/>
      </w:pPr>
      <w:r>
        <w:t xml:space="preserve">Cũng luật này quy định tăng thuế suất với rượu, bia, thuốc lá từ năm 2027.</w:t>
      </w:r>
    </w:p>
    <w:p>
      <w:pPr>
        <w:pStyle w:val="BlockText"/>
      </w:pPr>
      <w:r>
        <w:rPr>
          <w:b/>
          <w:bCs/>
        </w:rPr>
        <w:t xml:space="preserve">Vì sao nội dung này nằm trong tài liệu chiến lược thương hiệu chứ không phải tài liệu thuế.</w:t>
      </w:r>
      <w:r>
        <w:t xml:space="preserve"> </w:t>
      </w:r>
      <w:r>
        <w:t xml:space="preserve">Thuế suất áp dụng từ 2027 và 2028, nhưng</w:t>
      </w:r>
      <w:r>
        <w:t xml:space="preserve"> </w:t>
      </w:r>
      <w:r>
        <w:rPr>
          <w:b/>
          <w:bCs/>
        </w:rPr>
        <w:t xml:space="preserve">quyết định phải được đưa ra hôm nay</w:t>
      </w:r>
      <w:r>
        <w:t xml:space="preserve">:</w:t>
      </w:r>
      <w:r>
        <w:t xml:space="preserve"> </w:t>
      </w:r>
      <w:r>
        <w:t xml:space="preserve">- Điều chỉnh công thức xuống dưới ngưỡng 5g/100mL là cả một dự án R&amp;D, chuỗi cung ứng và</w:t>
      </w:r>
      <w:r>
        <w:t xml:space="preserve"> </w:t>
      </w:r>
      <w:r>
        <w:t xml:space="preserve">thẩm định cảm quan, thời gian chuẩn bị thường tính bằng năm;</w:t>
      </w:r>
      <w:r>
        <w:t xml:space="preserve"> </w:t>
      </w:r>
      <w:r>
        <w:t xml:space="preserve">- Bảng giá, chính sách thương mại và ngân sách khuyến mại năm 2027 đang được hoạch định ngay lúc này;</w:t>
      </w:r>
      <w:r>
        <w:t xml:space="preserve"> </w:t>
      </w:r>
      <w:r>
        <w:t xml:space="preserve">- Nếu chọn không đổi công thức mà để thương hiệu gánh thuế, đó là khoản chi phí phải đưa vào</w:t>
      </w:r>
      <w:r>
        <w:t xml:space="preserve"> </w:t>
      </w:r>
      <w:r>
        <w:t xml:space="preserve">mô hình tài chính từ trước.</w:t>
      </w:r>
    </w:p>
    <w:p>
      <w:pPr>
        <w:pStyle w:val="BlockText"/>
      </w:pPr>
      <w:r>
        <w:rPr>
          <w:b/>
          <w:bCs/>
        </w:rPr>
        <w:t xml:space="preserve">Đây là lực cản dễ bị bỏ sót nhất trên lộ trình cao cấp hóa</w:t>
      </w:r>
      <w:r>
        <w:t xml:space="preserve">: nâng cấp thường đi kèm lượng</w:t>
      </w:r>
      <w:r>
        <w:t xml:space="preserve"> </w:t>
      </w:r>
      <w:r>
        <w:t xml:space="preserve">đường cao hơn, vị đậm hơn, tính tiện dụng uống liền mạnh hơn — đúng phía đang bị đánh thuế.</w:t>
      </w:r>
    </w:p>
    <w:bookmarkEnd w:id="10"/>
    <w:bookmarkStart w:id="11" w:name="X3b4460e478e11a942e84fdfc62564b900ff1cd0"/>
    <w:p>
      <w:pPr>
        <w:pStyle w:val="Heading3"/>
      </w:pPr>
      <w:r>
        <w:t xml:space="preserve">2.2 Rượu bia: pháp luật cắt bớt một phần phương tiện truyền thông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Ngành hàng</w:t>
            </w:r>
          </w:p>
        </w:tc>
        <w:tc>
          <w:tcPr/>
          <w:p>
            <w:pPr>
              <w:pStyle w:val="Compact"/>
            </w:pPr>
            <w:r>
              <w:t xml:space="preserve">Hạn chế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Từ 15 độ cồn trở lên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Cấm quảng cáo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khoản 7 Điều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Rượu 5,5 đến dưới 15 độ; bia từ 5,5 độ trở lên</w:t>
            </w:r>
          </w:p>
        </w:tc>
        <w:tc>
          <w:tcPr/>
          <w:p>
            <w:pPr>
              <w:pStyle w:val="Compact"/>
            </w:pPr>
            <w:r>
              <w:t xml:space="preserve">Không quảng cáo trong chương trình văn hóa, sân khấu, điện ảnh, hoạt động thể thao; không dùng phương tiện quảng cáo ngoài trời (trừ biển hiệu cơ sở kinh doanh rượu, bia)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Điều 12</w:t>
            </w:r>
          </w:p>
        </w:tc>
      </w:tr>
    </w:tbl>
    <w:p>
      <w:pPr>
        <w:pStyle w:val="BodyText"/>
      </w:pPr>
      <w:r>
        <w:rPr>
          <w:b/>
          <w:bCs/>
        </w:rPr>
        <w:t xml:space="preserve">Ý nghĩa với chiến lược</w:t>
      </w:r>
      <w:r>
        <w:t xml:space="preserve">: rượu mạnh</w:t>
      </w:r>
      <w:r>
        <w:t xml:space="preserve"> </w:t>
      </w:r>
      <w:r>
        <w:rPr>
          <w:b/>
          <w:bCs/>
        </w:rPr>
        <w:t xml:space="preserve">không có con đường quảng cáo hợp pháp tại Việt Nam</w:t>
      </w:r>
      <w:r>
        <w:t xml:space="preserve">.</w:t>
      </w:r>
      <w:r>
        <w:t xml:space="preserve"> </w:t>
      </w:r>
      <w:r>
        <w:t xml:space="preserve">Tài sản thương hiệu ở ngành này chỉ có thể tích lũy qua sản phẩm, bao bì, kênh phân phối,</w:t>
      </w:r>
      <w:r>
        <w:t xml:space="preserve"> </w:t>
      </w:r>
      <w:r>
        <w:t xml:space="preserve">dịp sử dụng, truyền miệng và các hình thức hợp pháp không phải quảng cáo.</w:t>
      </w:r>
      <w:r>
        <w:t xml:space="preserve"> </w:t>
      </w:r>
      <w:r>
        <w:rPr>
          <w:b/>
          <w:bCs/>
        </w:rPr>
        <w:t xml:space="preserve">Bê nguyên tổ hợp truyền thông từng hiệu quả ở thị trường khác sang đây là va vào luật,</w:t>
      </w:r>
      <w:r>
        <w:rPr>
          <w:b/>
          <w:bCs/>
        </w:rPr>
        <w:t xml:space="preserve"> </w:t>
      </w:r>
      <w:r>
        <w:rPr>
          <w:b/>
          <w:bCs/>
        </w:rPr>
        <w:t xml:space="preserve">không phải va vào ngân sách.</w:t>
      </w:r>
    </w:p>
    <w:bookmarkEnd w:id="11"/>
    <w:bookmarkStart w:id="12" w:name="Xeaabeec2d0df0e745706430e4364c7a68109408"/>
    <w:p>
      <w:pPr>
        <w:pStyle w:val="Heading3"/>
      </w:pPr>
      <w:r>
        <w:t xml:space="preserve">2.3 Luật bảo vệ người tiêu dùng đã thay thế hệ (01/7/2024)</w:t>
      </w:r>
    </w:p>
    <w:p>
      <w:pPr>
        <w:pStyle w:val="FirstParagraph"/>
      </w:pPr>
      <w:r>
        <w:rPr>
          <w:b/>
          <w:bCs/>
        </w:rPr>
        <w:t xml:space="preserve">Luật 19/2023/QH15</w:t>
      </w:r>
      <w:r>
        <w:t xml:space="preserve"> </w:t>
      </w:r>
      <w:r>
        <w:t xml:space="preserve">(thông qua 20/6/2023, hiệu lực</w:t>
      </w:r>
      <w:r>
        <w:t xml:space="preserve"> </w:t>
      </w:r>
      <w:r>
        <w:rPr>
          <w:b/>
          <w:bCs/>
        </w:rPr>
        <w:t xml:space="preserve">01/7/2024</w:t>
      </w:r>
      <w:r>
        <w:t xml:space="preserve">) gồm</w:t>
      </w:r>
      <w:r>
        <w:t xml:space="preserve"> </w:t>
      </w:r>
      <w:r>
        <w:rPr>
          <w:b/>
          <w:bCs/>
        </w:rPr>
        <w:t xml:space="preserve">7 chương, 80 điều</w:t>
      </w:r>
      <w:r>
        <w:t xml:space="preserve">,</w:t>
      </w:r>
      <w:r>
        <w:t xml:space="preserve"> </w:t>
      </w:r>
      <w:r>
        <w:t xml:space="preserve">tăng từ 51 điều của luật 2010, bổ sung Chương III về trách nhiệm của tổ chức, cá nhân kinh doanh</w:t>
      </w:r>
      <w:r>
        <w:t xml:space="preserve"> </w:t>
      </w:r>
      <w:r>
        <w:t xml:space="preserve">với người tiêu dùng trong các</w:t>
      </w:r>
      <w:r>
        <w:t xml:space="preserve"> </w:t>
      </w:r>
      <w:r>
        <w:rPr>
          <w:b/>
          <w:bCs/>
        </w:rPr>
        <w:t xml:space="preserve">giao dịch đặc thù</w:t>
      </w:r>
      <w:r>
        <w:t xml:space="preserve">.</w:t>
      </w:r>
    </w:p>
    <w:p>
      <w:pPr>
        <w:pStyle w:val="BodyText"/>
      </w:pPr>
      <w:r>
        <w:t xml:space="preserve">Ba điểm liên quan trực tiếp tới quyết định thương hiệu: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Xác định rõ 7 nhóm người tiêu dùng dễ bị tổn thương</w:t>
      </w:r>
      <w:r>
        <w:t xml:space="preserve">: người cao tuổi; người khuyết tật;</w:t>
      </w:r>
      <w:r>
        <w:t xml:space="preserve"> </w:t>
      </w:r>
      <w:r>
        <w:t xml:space="preserve">trẻ em; người dân tộc thiểu số; người sinh sống tại vùng sâu vùng xa, vùng có điều kiện</w:t>
      </w:r>
      <w:r>
        <w:t xml:space="preserve"> </w:t>
      </w:r>
      <w:r>
        <w:t xml:space="preserve">kinh tế - xã hội khó khăn; phụ nữ mang thai hoặc nuôi con dưới 36 tháng tuổi; người bị bệnh</w:t>
      </w:r>
      <w:r>
        <w:t xml:space="preserve"> </w:t>
      </w:r>
      <w:r>
        <w:t xml:space="preserve">hiểm nghèo và thành viên hộ nghèo.</w:t>
      </w:r>
      <w:r>
        <w:t xml:space="preserve"> </w:t>
      </w:r>
      <w:r>
        <w:rPr>
          <w:b/>
          <w:bCs/>
        </w:rPr>
        <w:t xml:space="preserve">Hoạt động marketing và bán hàng hướng tới các nhóm này</w:t>
      </w:r>
      <w:r>
        <w:rPr>
          <w:b/>
          <w:bCs/>
        </w:rPr>
        <w:t xml:space="preserve"> </w:t>
      </w:r>
      <w:r>
        <w:rPr>
          <w:b/>
          <w:bCs/>
        </w:rPr>
        <w:t xml:space="preserve">chịu ràng buộc bổ sung.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Bổ sung hành vi bị cấm đối với tổ chức bán hàng đa cấp và tổ chức vận hành nền tảng số</w:t>
      </w:r>
      <w:r>
        <w:t xml:space="preserve">,</w:t>
      </w:r>
      <w:r>
        <w:t xml:space="preserve"> </w:t>
      </w:r>
      <w:r>
        <w:t xml:space="preserve">trong đó có</w:t>
      </w:r>
      <w:r>
        <w:t xml:space="preserve"> </w:t>
      </w:r>
      <w:r>
        <w:rPr>
          <w:b/>
          <w:bCs/>
        </w:rPr>
        <w:t xml:space="preserve">cấm dùng người có ảnh hưởng quảng bá sản phẩm mà không công bố quan hệ tài trợ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Bổ sung trách nhiệm bảo đảm an toàn, đo lường, số lượng, khối lượng, chất lượng, công dụng</w:t>
      </w:r>
      <w:r>
        <w:t xml:space="preserve"> </w:t>
      </w:r>
      <w:r>
        <w:t xml:space="preserve">của sản phẩm, hàng hóa — đúng vào những tuyên bố mà câu chuyện nâng cấp thường dựa vào nhất.</w:t>
      </w:r>
    </w:p>
    <w:bookmarkEnd w:id="12"/>
    <w:bookmarkStart w:id="13" w:name="X8bdafd881066482a78eeea56871f2db26e0ceb6"/>
    <w:p>
      <w:pPr>
        <w:pStyle w:val="Heading3"/>
      </w:pPr>
      <w:r>
        <w:t xml:space="preserve">2.4 Hội viên và dữ liệu: đổi luật điều chỉnh từ 01/01/2026</w:t>
      </w:r>
    </w:p>
    <w:p>
      <w:pPr>
        <w:pStyle w:val="FirstParagraph"/>
      </w:pPr>
      <w:r>
        <w:rPr>
          <w:b/>
          <w:bCs/>
        </w:rPr>
        <w:t xml:space="preserve">Luật 91/2025/QH15</w:t>
      </w:r>
      <w:r>
        <w:t xml:space="preserve"> </w:t>
      </w:r>
      <w:r>
        <w:t xml:space="preserve">(Bảo vệ dữ liệu cá nhân) có hiệu lực 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, kèm</w:t>
      </w:r>
      <w:r>
        <w:t xml:space="preserve"> </w:t>
      </w:r>
      <w:r>
        <w:rPr>
          <w:b/>
          <w:bCs/>
        </w:rPr>
        <w:t xml:space="preserve">Nghị định 356/2025/NĐ-CP</w:t>
      </w:r>
      <w:r>
        <w:t xml:space="preserve">, xác lập quyền được biết, quyền đồng ý, quyền truy cập, quyền</w:t>
      </w:r>
      <w:r>
        <w:t xml:space="preserve"> </w:t>
      </w:r>
      <w:r>
        <w:t xml:space="preserve">chỉnh sửa và quyền yêu cầu xóa dữ liệu, và</w:t>
      </w:r>
      <w:r>
        <w:t xml:space="preserve"> </w:t>
      </w:r>
      <w:r>
        <w:rPr>
          <w:b/>
          <w:bCs/>
        </w:rPr>
        <w:t xml:space="preserve">áp dụng cả với tổ chức nước ngoài xử lý dữ liệu</w:t>
      </w:r>
      <w:r>
        <w:rPr>
          <w:b/>
          <w:bCs/>
        </w:rPr>
        <w:t xml:space="preserve"> </w:t>
      </w:r>
      <w:r>
        <w:rPr>
          <w:b/>
          <w:bCs/>
        </w:rPr>
        <w:t xml:space="preserve">cá nhân của công dân Việt Nam</w:t>
      </w:r>
      <w:r>
        <w:t xml:space="preserve">.</w:t>
      </w:r>
    </w:p>
    <w:p>
      <w:pPr>
        <w:pStyle w:val="BodyText"/>
      </w:pPr>
      <w:r>
        <w:t xml:space="preserve">Hệ thống hội viên, CRM, chương trình khách hàng thân thiết, gợi ý cá nhân hóa — đó chính là</w:t>
      </w:r>
      <w:r>
        <w:t xml:space="preserve"> </w:t>
      </w:r>
      <w:r>
        <w:t xml:space="preserve">hạ tầng cốt lõi của lối chơi nâng cấp tiêu dùng, và nay tất cả đều nằm trong phạm vi của luật này.</w:t>
      </w:r>
      <w:r>
        <w:t xml:space="preserve"> </w:t>
      </w:r>
      <w:r>
        <w:rPr>
          <w:b/>
          <w:bCs/>
        </w:rPr>
        <w:t xml:space="preserve">Tuân thủ dữ liệu không phải việc của bộ phận CNTT; đó là điều kiện để tài sản thương hiệu giữ được.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5" w:name="X6802e969a899e08699257763be2e26dba24fa0d"/>
    <w:p>
      <w:pPr>
        <w:pStyle w:val="Heading2"/>
      </w:pPr>
      <w:r>
        <w:t xml:space="preserve">III. Hai mốc neo kiểm chứng được cho việc định giá</w:t>
      </w:r>
    </w:p>
    <w:p>
      <w:pPr>
        <w:pStyle w:val="FirstParagraph"/>
      </w:pPr>
      <w:r>
        <w:t xml:space="preserve">Khi quyết định dải giá, ít nhất có hai con số truy được nguồn: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Mốc neo</w:t>
            </w:r>
          </w:p>
        </w:tc>
        <w:tc>
          <w:tcPr/>
          <w:p>
            <w:pPr>
              <w:pStyle w:val="Compact"/>
            </w:pPr>
            <w:r>
              <w:t xml:space="preserve">Giá trị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</w:tr>
      <w:tr>
        <w:tc>
          <w:tcPr/>
          <w:p>
            <w:pPr>
              <w:pStyle w:val="Compact"/>
            </w:pPr>
            <w:r>
              <w:t xml:space="preserve">Lương tối thiểu vùng</w:t>
            </w:r>
          </w:p>
        </w:tc>
        <w:tc>
          <w:tcPr/>
          <w:p>
            <w:pPr>
              <w:pStyle w:val="Compact"/>
            </w:pPr>
            <w:r>
              <w:t xml:space="preserve">Tăng</w:t>
            </w:r>
            <w:r>
              <w:t xml:space="preserve"> </w:t>
            </w:r>
            <w:r>
              <w:rPr>
                <w:b/>
                <w:bCs/>
              </w:rPr>
              <w:t xml:space="preserve">7,2%</w:t>
            </w:r>
            <w:r>
              <w:t xml:space="preserve"> </w:t>
            </w:r>
            <w:r>
              <w:t xml:space="preserve">từ</w:t>
            </w:r>
            <w:r>
              <w:t xml:space="preserve"> </w:t>
            </w: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CPI bình quân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3,31%</w:t>
            </w:r>
            <w:r>
              <w:t xml:space="preserve"> </w:t>
            </w:r>
            <w:r>
              <w:t xml:space="preserve">năm 2025</w:t>
            </w:r>
          </w:p>
        </w:tc>
        <w:tc>
          <w:tcPr/>
          <w:p>
            <w:pPr>
              <w:pStyle w:val="Compact"/>
            </w:pPr>
            <w:r>
              <w:t xml:space="preserve">Báo cáo thống kê cả năm 2025</w:t>
            </w:r>
          </w:p>
        </w:tc>
      </w:tr>
    </w:tbl>
    <w:p>
      <w:pPr>
        <w:pStyle w:val="BodyText"/>
      </w:pPr>
      <w:r>
        <w:rPr>
          <w:b/>
          <w:bCs/>
        </w:rPr>
        <w:t xml:space="preserve">Lương tối thiểu tăng 7,2% so với CPI 3,31%</w:t>
      </w:r>
      <w:r>
        <w:t xml:space="preserve"> </w:t>
      </w:r>
      <w:r>
        <w:t xml:space="preserve">là thông tin mang tính định hướng: sức mua danh</w:t>
      </w:r>
      <w:r>
        <w:t xml:space="preserve"> </w:t>
      </w:r>
      <w:r>
        <w:t xml:space="preserve">nghĩa ở nhóm thu nhập thấp đang cải thiện.</w:t>
      </w:r>
      <w:r>
        <w:t xml:space="preserve"> </w:t>
      </w:r>
      <w:r>
        <w:rPr>
          <w:b/>
          <w:bCs/>
        </w:rPr>
        <w:t xml:space="preserve">Nhưng lưu ý lương tối thiểu chỉ chạm tới nhóm áp</w:t>
      </w:r>
      <w:r>
        <w:rPr>
          <w:b/>
          <w:bCs/>
        </w:rPr>
        <w:t xml:space="preserve"> </w:t>
      </w:r>
      <w:r>
        <w:rPr>
          <w:b/>
          <w:bCs/>
        </w:rPr>
        <w:t xml:space="preserve">dụng mức sàn luật định, không thể dùng như tốc độ tăng thu nhập của toàn dân.</w:t>
      </w:r>
    </w:p>
    <w:p>
      <w:r>
        <w:pict>
          <v:rect style="width:0;height:1.5pt" o:hralign="center" o:hrstd="t" o:hr="t"/>
        </w:pict>
      </w:r>
    </w:p>
    <w:bookmarkEnd w:id="15"/>
    <w:bookmarkStart w:id="16" w:name="X8d74ea59ed7882b7b09ae1f7aa016c99e9e0090"/>
    <w:p>
      <w:pPr>
        <w:pStyle w:val="Heading2"/>
      </w:pPr>
      <w:r>
        <w:t xml:space="preserve">IV. Phương pháp: bóc</w:t>
      </w:r>
      <w:r>
        <w:t xml:space="preserve"> </w:t>
      </w:r>
      <w:r>
        <w:t xml:space="preserve">“nâng cấp tiêu dùng”</w:t>
      </w:r>
      <w:r>
        <w:t xml:space="preserve"> </w:t>
      </w:r>
      <w:r>
        <w:t xml:space="preserve">thành các câu hỏi kiểm chứng được</w:t>
      </w:r>
    </w:p>
    <w:p>
      <w:pPr>
        <w:pStyle w:val="FirstParagraph"/>
      </w:pPr>
      <w:r>
        <w:t xml:space="preserve">Thay vì chấp nhận một nhận định tổng thể, hãy tách thành bốn câu hỏi, mỗi câu đều phải kèm nguồn: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Ai đang nâng cấp?</w:t>
      </w:r>
      <w:r>
        <w:t xml:space="preserve"> </w:t>
      </w:r>
      <w:r>
        <w:t xml:space="preserve">— phân tầng thu nhập, địa bàn, nhóm tuổi. Dùng mẫu số nào, nguồn ở đâu?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Nâng lên cái gì?</w:t>
      </w:r>
      <w:r>
        <w:t xml:space="preserve"> </w:t>
      </w:r>
      <w:r>
        <w:t xml:space="preserve">— từ mức giá nào lên mức giá nào, thay thế ai? Là nâng cấp ngành hàng</w:t>
      </w:r>
      <w:r>
        <w:t xml:space="preserve"> </w:t>
      </w:r>
      <w:r>
        <w:t xml:space="preserve">hay chuyển đổi thương hiệu?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Mua ở đâu?</w:t>
      </w:r>
      <w:r>
        <w:t xml:space="preserve"> </w:t>
      </w:r>
      <w:r>
        <w:t xml:space="preserve">— thay đổi cấu trúc kênh, lưu ý ranh giới</w:t>
      </w:r>
      <w:r>
        <w:t xml:space="preserve"> </w:t>
      </w:r>
      <w:r>
        <w:rPr>
          <w:b/>
          <w:bCs/>
        </w:rPr>
        <w:t xml:space="preserve">01/7/2026</w:t>
      </w:r>
      <w:r>
        <w:t xml:space="preserve"> </w:t>
      </w:r>
      <w:r>
        <w:t xml:space="preserve">của Luật Thương mại</w:t>
      </w:r>
      <w:r>
        <w:t xml:space="preserve"> </w:t>
      </w:r>
      <w:r>
        <w:t xml:space="preserve">điện tử (Luật 122/2025/QH15).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Dựa vào đâu để tin bạn?</w:t>
      </w:r>
      <w:r>
        <w:t xml:space="preserve"> </w:t>
      </w:r>
      <w:r>
        <w:t xml:space="preserve">— đối chiếu với bốn ràng buộc cứng ở Mục II: tuyên bố của bạn có</w:t>
      </w:r>
      <w:r>
        <w:t xml:space="preserve"> </w:t>
      </w:r>
      <w:r>
        <w:t xml:space="preserve">nằm trong phạm vi pháp luật cho phép không, có chạm ràng buộc bổ sung với 7 nhóm dễ bị tổn</w:t>
      </w:r>
      <w:r>
        <w:t xml:space="preserve"> </w:t>
      </w:r>
      <w:r>
        <w:t xml:space="preserve">thương không, dữ liệu thu thập có hợp pháp không.</w:t>
      </w:r>
    </w:p>
    <w:p>
      <w:pPr>
        <w:pStyle w:val="BlockText"/>
      </w:pPr>
      <w:r>
        <w:rPr>
          <w:b/>
          <w:bCs/>
        </w:rPr>
        <w:t xml:space="preserve">Câu thứ tư hay bị bỏ qua nhất và cũng đắt nhất.</w:t>
      </w:r>
      <w:r>
        <w:t xml:space="preserve"> </w:t>
      </w:r>
      <w:r>
        <w:t xml:space="preserve">Sai ba câu đầu chỉ mất hiệu quả;</w:t>
      </w:r>
      <w:r>
        <w:t xml:space="preserve"> </w:t>
      </w:r>
      <w:r>
        <w:t xml:space="preserve">sai câu thứ tư là sự cố tuân thủ.</w:t>
      </w:r>
    </w:p>
    <w:p>
      <w:r>
        <w:pict>
          <v:rect style="width:0;height:1.5pt" o:hralign="center" o:hrstd="t" o:hr="t"/>
        </w:pict>
      </w:r>
    </w:p>
    <w:bookmarkEnd w:id="16"/>
    <w:bookmarkStart w:id="17" w:name="v.-những-ngộ-nhận-thường-gặp"/>
    <w:p>
      <w:pPr>
        <w:pStyle w:val="Heading2"/>
      </w:pPr>
      <w:r>
        <w:t xml:space="preserve">V. Những ngộ nhận thường gặp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Ngộ nhận</w:t>
            </w:r>
          </w:p>
        </w:tc>
        <w:tc>
          <w:tcPr/>
          <w:p>
            <w:pPr>
              <w:pStyle w:val="Compact"/>
            </w:pPr>
            <w:r>
              <w:t xml:space="preserve">Vì sao sai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Ước lượng quy mô nhóm cao cấp thẳng từ GDP bình quân đầu người</w:t>
            </w:r>
          </w:p>
        </w:tc>
        <w:tc>
          <w:tcPr/>
          <w:p>
            <w:pPr>
              <w:pStyle w:val="Compact"/>
            </w:pPr>
            <w:r>
              <w:t xml:space="preserve">GDP bình quân không phải thu nhập khả dụng, cũng không phải trung vị; chưa biết phân phối thì không suy được phân vị từ giá trị trung bình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Bê nguyên tổ hợp truyền thông cao cấp từ thị trường khác</w:t>
            </w:r>
          </w:p>
        </w:tc>
        <w:tc>
          <w:tcPr/>
          <w:p>
            <w:pPr>
              <w:pStyle w:val="Compact"/>
            </w:pPr>
            <w:r>
              <w:t xml:space="preserve">Quảng cáo rượu bia có vùng cấm luật định rõ ràng tại Việt Nam (Mục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 thuế nước ngọt là chuyện của năm 2027</w:t>
            </w:r>
          </w:p>
        </w:tc>
        <w:tc>
          <w:tcPr/>
          <w:p>
            <w:pPr>
              <w:pStyle w:val="Compact"/>
            </w:pPr>
            <w:r>
              <w:t xml:space="preserve">Thời gian chuẩn bị cho công thức và bảng giá tính bằng năm (Mục 2.1)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</w:t>
            </w:r>
            <w:r>
              <w:t xml:space="preserve"> </w:t>
            </w:r>
            <w:r>
              <w:t xml:space="preserve">“tài trợ không công bố”</w:t>
            </w:r>
            <w:r>
              <w:t xml:space="preserve"> </w:t>
            </w:r>
            <w:r>
              <w:t xml:space="preserve">là quy định mới của 2026</w:t>
            </w:r>
          </w:p>
        </w:tc>
        <w:tc>
          <w:tcPr/>
          <w:p>
            <w:pPr>
              <w:pStyle w:val="Compact"/>
            </w:pPr>
            <w:r>
              <w:t xml:space="preserve">Đã là hành vi bị cấm từ 01/7/2024 (Mục 2.3)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Cho rằng lưu dữ liệu ở nước ngoài là tránh được</w:t>
            </w:r>
          </w:p>
        </w:tc>
        <w:tc>
          <w:tcPr/>
          <w:p>
            <w:pPr>
              <w:pStyle w:val="Compact"/>
            </w:pPr>
            <w:r>
              <w:t xml:space="preserve">Luật áp dụng với tổ chức nước ngoài xử lý dữ liệu công dân Việt Nam (Mục 2.4)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X7acc94519ccddc2735a68c3852e1218371e5ca6"/>
    <w:p>
      <w:pPr>
        <w:pStyle w:val="Heading2"/>
      </w:pPr>
      <w:r>
        <w:t xml:space="preserve">VI. Căn cứ pháp lý được dẫn trong bản này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Chủ đề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  <w:tc>
          <w:tcPr/>
          <w:p>
            <w:pPr>
              <w:pStyle w:val="Compact"/>
            </w:pPr>
            <w:r>
              <w:t xml:space="preserve">Hiệu lực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Thuế tiêu thụ đặc biệt (nước ngọt, rượu bia, thuốc lá)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  <w:tc>
          <w:tcPr/>
          <w:p>
            <w:pPr>
              <w:pStyle w:val="Compact"/>
            </w:pPr>
            <w:r>
              <w:t xml:space="preserve">01/01/2026 (thuế suất đồ uống theo lộ trình 2027 / 2028)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Hạn chế quảng cáo rượu, bia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Điều 5 và Điều 12</w:t>
            </w:r>
          </w:p>
        </w:tc>
        <w:tc>
          <w:tcPr/>
          <w:p>
            <w:pPr>
              <w:pStyle w:val="Compact"/>
            </w:pPr>
            <w:r>
              <w:t xml:space="preserve">01/01/2020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Bảo vệ quyền lợi người tiêu dùng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  <w:tc>
          <w:tcPr/>
          <w:p>
            <w:pPr>
              <w:pStyle w:val="Compact"/>
            </w:pPr>
            <w:r>
              <w:t xml:space="preserve">01/7/2024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Bảo vệ dữ liệu cá nhân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Thương mại điện tử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  <w:tc>
          <w:tcPr/>
          <w:p>
            <w:pPr>
              <w:pStyle w:val="Compact"/>
            </w:pPr>
            <w:r>
              <w:t xml:space="preserve">01/7/2026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Lương tối thiểu vùng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18/09/2026.</w:t>
      </w:r>
    </w:p>
    <w:p>
      <w:r>
        <w:pict>
          <v:rect style="width:0;height:1.5pt" o:hralign="center" o:hrstd="t" o:hr="t"/>
        </w:pict>
      </w:r>
    </w:p>
    <w:bookmarkEnd w:id="18"/>
    <w:bookmarkStart w:id="19" w:name="vii.-hướng-dẫn-sử-dụng-và-lưu-ý-rủi-ro"/>
    <w:p>
      <w:pPr>
        <w:pStyle w:val="Heading2"/>
      </w:pPr>
      <w:r>
        <w:t xml:space="preserve">VII. Hướng dẫn sử dụng và lưu ý rủi ro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Đây là tài liệu tham khảo chung, không phải ý kiến pháp lý, không phải khuyến nghị đầu tư,</w:t>
      </w:r>
      <w:r>
        <w:rPr>
          <w:b/>
          <w:bCs/>
        </w:rPr>
        <w:t xml:space="preserve"> </w:t>
      </w:r>
      <w:r>
        <w:rPr>
          <w:b/>
          <w:bCs/>
        </w:rPr>
        <w:t xml:space="preserve">cũng không phải kết luận nghiên cứu thị trường.</w:t>
      </w:r>
      <w:r>
        <w:t xml:space="preserve"> </w:t>
      </w:r>
      <w:r>
        <w:t xml:space="preserve">Với sản phẩm, tuyên bố hoặc phương án</w:t>
      </w:r>
      <w:r>
        <w:t xml:space="preserve"> </w:t>
      </w:r>
      <w:r>
        <w:t xml:space="preserve">truyền thông cụ thể, vui lòng lấy ý kiến luật sư hành nghề tại Việt Nam và chuyên gia thị</w:t>
      </w:r>
      <w:r>
        <w:t xml:space="preserve"> </w:t>
      </w:r>
      <w:r>
        <w:t xml:space="preserve">trường bản địa.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Những nội dung bản này cố ý không viết</w:t>
      </w:r>
      <w:r>
        <w:t xml:space="preserve">, vì tính đến ngày rà soát chưa có nguồn chính thức</w:t>
      </w:r>
      <w:r>
        <w:t xml:space="preserve"> </w:t>
      </w:r>
      <w:r>
        <w:t xml:space="preserve">dẫn chiếu được:</w:t>
      </w:r>
    </w:p>
    <w:p>
      <w:pPr>
        <w:pStyle w:val="Compact"/>
        <w:numPr>
          <w:ilvl w:val="1"/>
          <w:numId w:val="1006"/>
        </w:numPr>
      </w:pPr>
      <w:r>
        <w:t xml:space="preserve">Tỷ lệ đô thị hóa (báo cáo thống kê không cung cấp; nguồn thứ cấp mâu thuẫn)</w:t>
      </w:r>
    </w:p>
    <w:p>
      <w:pPr>
        <w:pStyle w:val="Compact"/>
        <w:numPr>
          <w:ilvl w:val="1"/>
          <w:numId w:val="1006"/>
        </w:numPr>
      </w:pPr>
      <w:r>
        <w:t xml:space="preserve">Tỷ trọng doanh thu bán lẻ hàng hóa trong tổng mức (một nguồn thứ cấp đưa 76,1%, nhưng báo</w:t>
      </w:r>
      <w:r>
        <w:t xml:space="preserve"> </w:t>
      </w:r>
      <w:r>
        <w:t xml:space="preserve">cáo năm chính thức không tách riêng, nên không sử dụng)</w:t>
      </w:r>
    </w:p>
    <w:p>
      <w:pPr>
        <w:pStyle w:val="Compact"/>
        <w:numPr>
          <w:ilvl w:val="1"/>
          <w:numId w:val="1006"/>
        </w:numPr>
      </w:pPr>
      <w:r>
        <w:t xml:space="preserve">Quy mô và tốc độ tăng của tầng lớp trung lưu, các phân vị phân phối thu nhập</w:t>
      </w:r>
    </w:p>
    <w:p>
      <w:pPr>
        <w:pStyle w:val="Compact"/>
        <w:numPr>
          <w:ilvl w:val="1"/>
          <w:numId w:val="1006"/>
        </w:numPr>
      </w:pPr>
      <w:r>
        <w:t xml:space="preserve">Tốc độ tăng trưởng và thị phần theo từng ngành hàng tiêu dùng</w:t>
      </w:r>
    </w:p>
    <w:p>
      <w:pPr>
        <w:pStyle w:val="Compact"/>
        <w:numPr>
          <w:ilvl w:val="1"/>
          <w:numId w:val="1006"/>
        </w:numPr>
      </w:pPr>
      <w:r>
        <w:t xml:space="preserve">Kết quả nghiên cứu người tiêu dùng (thái độ, sở thích, mức sẵn lòng chi trả)</w:t>
      </w:r>
    </w:p>
    <w:p>
      <w:pPr>
        <w:pStyle w:val="Compact"/>
        <w:numPr>
          <w:ilvl w:val="1"/>
          <w:numId w:val="1006"/>
        </w:numPr>
      </w:pPr>
      <w:r>
        <w:t xml:space="preserve">Trường hợp thương hiệu cụ thể và quy kết nguyên nhân thành bại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Theo nguyên tắc biên tập của chuyên mục, con số chưa kiểm chứng thì không viết</w:t>
      </w:r>
      <w:r>
        <w:t xml:space="preserve">,</w:t>
      </w:r>
      <w:r>
        <w:t xml:space="preserve"> </w:t>
      </w:r>
      <w:r>
        <w:t xml:space="preserve">thay vì điền một giá trị nghe có vẻ hợp lý. Mục IV đưa ra cách đặt câu hỏi, không thay thế</w:t>
      </w:r>
      <w:r>
        <w:t xml:space="preserve"> </w:t>
      </w:r>
      <w:r>
        <w:t xml:space="preserve">cho các dữ liệu đó.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Các con số ở đây sẽ lạc hậu.</w:t>
      </w:r>
      <w:r>
        <w:t xml:space="preserve"> </w:t>
      </w:r>
      <w:r>
        <w:t xml:space="preserve">Mục I là dữ liệu cả năm 2025; Mục II có hai thuế suất tới</w:t>
      </w:r>
      <w:r>
        <w:t xml:space="preserve"> </w:t>
      </w:r>
      <w:r>
        <w:t xml:space="preserve">2027 và 2028 mới áp dụng.</w:t>
      </w:r>
      <w:r>
        <w:t xml:space="preserve"> </w:t>
      </w:r>
      <w:r>
        <w:rPr>
          <w:b/>
          <w:bCs/>
        </w:rPr>
        <w:t xml:space="preserve">Tài liệu này nằm trong danh mục rà soát theo quý.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Tài liệu này không chứa thông tin của bất kỳ doanh nghiệp cụ thể nào.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Nâng cấp tiêu dùng và chiến lược thương hiệu tại Việt Nam: số liệu nền kiểm chứng được và các ràng buộc cứng năm 2026</dc:title>
  <dc:creator/>
  <dc:language>vi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