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越南消费升级与品牌策略：可核验的底数与</w:t>
      </w:r>
      <w:r>
        <w:t xml:space="preserve"> 2026 </w:t>
      </w:r>
      <w:r>
        <w:rPr>
          <w:rFonts w:hint="eastAsia"/>
        </w:rPr>
        <w:t xml:space="preserve">年的硬约束</w:t>
      </w:r>
    </w:p>
    <w:bookmarkStart w:id="20" w:name="越南消费升级与品牌策略可核验的底数与-2026-年的硬约束"/>
    <w:p>
      <w:pPr>
        <w:pStyle w:val="Heading1"/>
      </w:pPr>
      <w:r>
        <w:rPr>
          <w:rFonts w:hint="eastAsia"/>
        </w:rPr>
        <w:t xml:space="preserve">越南消费升级与品牌策略：可核验的底数与</w:t>
      </w:r>
      <w:r>
        <w:t xml:space="preserve"> 2026 </w:t>
      </w:r>
      <w:r>
        <w:rPr>
          <w:rFonts w:hint="eastAsia"/>
        </w:rPr>
        <w:t xml:space="preserve">年的硬约束</w:t>
      </w:r>
    </w:p>
    <w:p>
      <w:pPr>
        <w:pStyle w:val="FirstParagraph"/>
      </w:pPr>
      <w:r>
        <w:rPr>
          <w:b/>
          <w:bCs/>
        </w:rPr>
        <w:t xml:space="preserve">2026 </w:t>
      </w:r>
      <w:r>
        <w:rPr>
          <w:rFonts w:hint="eastAsia"/>
          <w:b/>
          <w:bCs/>
        </w:rPr>
        <w:t xml:space="preserve">年版</w:t>
      </w:r>
    </w:p>
    <w:p>
      <w:pPr>
        <w:pStyle w:val="BodyText"/>
      </w:pPr>
      <w:r>
        <w:rPr>
          <w:rFonts w:hint="eastAsia"/>
          <w:b/>
          <w:bCs/>
        </w:rPr>
        <w:t xml:space="preserve">法规核验日：2026-09-18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rPr>
          <w:rFonts w:hint="eastAsia"/>
          <w:b/>
          <w:bCs/>
        </w:rPr>
        <w:t xml:space="preserve">为什么这份文档长得不像一般的”品牌策略”。</w:t>
      </w:r>
    </w:p>
    <w:p>
      <w:pPr>
        <w:pStyle w:val="BlockText"/>
      </w:pPr>
      <w:r>
        <w:rPr>
          <w:rFonts w:hint="eastAsia"/>
        </w:rPr>
        <w:t xml:space="preserve">市面上关于越南消费升级的材料，大多由三种东西构成：一个增长率、几张趋势图、</w:t>
      </w:r>
      <w:r>
        <w:t xml:space="preserve"> </w:t>
      </w:r>
      <w:r>
        <w:rPr>
          <w:rFonts w:hint="eastAsia"/>
        </w:rPr>
        <w:t xml:space="preserve">一串”Z</w:t>
      </w:r>
      <w:r>
        <w:t xml:space="preserve"> </w:t>
      </w:r>
      <w:r>
        <w:rPr>
          <w:rFonts w:hint="eastAsia"/>
        </w:rPr>
        <w:t xml:space="preserve">世代更愿意为体验付费”式的判断。问题是</w:t>
      </w:r>
      <w:r>
        <w:rPr>
          <w:rFonts w:hint="eastAsia"/>
          <w:b/>
          <w:bCs/>
        </w:rPr>
        <w:t xml:space="preserve">那些数字往往查不到出处，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口径也互不一致</w:t>
      </w:r>
      <w:r>
        <w:t xml:space="preserve"> </w:t>
      </w:r>
      <w:r>
        <w:t xml:space="preserve">—— </w:t>
      </w:r>
      <w:r>
        <w:rPr>
          <w:rFonts w:hint="eastAsia"/>
        </w:rPr>
        <w:t xml:space="preserve">拿它做投资与定价决策，等于把公司押在一份来源不明的</w:t>
      </w:r>
      <w:r>
        <w:t xml:space="preserve"> PPT </w:t>
      </w:r>
      <w:r>
        <w:rPr>
          <w:rFonts w:hint="eastAsia"/>
        </w:rPr>
        <w:t xml:space="preserve">上。</w:t>
      </w:r>
    </w:p>
    <w:p>
      <w:pPr>
        <w:pStyle w:val="BlockText"/>
      </w:pPr>
      <w:r>
        <w:rPr>
          <w:rFonts w:hint="eastAsia"/>
        </w:rPr>
        <w:t xml:space="preserve">本文换一种搭法：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第一节只写能核到官方出处的数字</w:t>
      </w:r>
      <w:r>
        <w:rPr>
          <w:rFonts w:hint="eastAsia"/>
        </w:rPr>
        <w:t xml:space="preserve">，写明出处与口径；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第二节写法定硬约束</w:t>
      </w:r>
      <w:r>
        <w:t xml:space="preserve"> </w:t>
      </w:r>
      <w:r>
        <w:t xml:space="preserve">—— </w:t>
      </w:r>
      <w:r>
        <w:rPr>
          <w:rFonts w:hint="eastAsia"/>
        </w:rPr>
        <w:t xml:space="preserve">那些不管你怎么判断趋势都必须照办、且有明确生效日的规则；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第三节写方法</w:t>
      </w:r>
      <w:r>
        <w:t xml:space="preserve"> </w:t>
      </w:r>
      <w:r>
        <w:t xml:space="preserve">—— </w:t>
      </w:r>
      <w:r>
        <w:rPr>
          <w:rFonts w:hint="eastAsia"/>
        </w:rPr>
        <w:t xml:space="preserve">决策该怎么拆，而不是替你下判断；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第九节明确列出本文不写什么</w:t>
      </w:r>
      <w:r>
        <w:rPr>
          <w:rFonts w:hint="eastAsia"/>
        </w:rPr>
        <w:t xml:space="preserve">，以及为什么不写。</w:t>
      </w:r>
    </w:p>
    <w:p>
      <w:pPr>
        <w:pStyle w:val="BlockText"/>
      </w:pPr>
      <w:r>
        <w:rPr>
          <w:rFonts w:hint="eastAsia"/>
          <w:b/>
          <w:bCs/>
        </w:rPr>
        <w:t xml:space="preserve">判断可以错，底数不能错。</w:t>
      </w:r>
      <w:r>
        <w:t xml:space="preserve"> </w:t>
      </w:r>
      <w:r>
        <w:rPr>
          <w:rFonts w:hint="eastAsia"/>
        </w:rPr>
        <w:t xml:space="preserve">底数错了，后面每一步都跟着错。</w:t>
      </w:r>
    </w:p>
    <w:p>
      <w:r>
        <w:pict>
          <v:rect style="width:0;height:1.5pt" o:hralign="center" o:hrstd="t" o:hr="t"/>
        </w:pict>
      </w:r>
    </w:p>
    <w:bookmarkStart w:id="9" w:name="一可核验的底数2025-年全年官方口径"/>
    <w:p>
      <w:pPr>
        <w:pStyle w:val="Heading2"/>
      </w:pPr>
      <w:r>
        <w:rPr>
          <w:rFonts w:hint="eastAsia"/>
        </w:rPr>
        <w:t xml:space="preserve">一、可核验的底数（2025</w:t>
      </w:r>
      <w:r>
        <w:t xml:space="preserve"> </w:t>
      </w:r>
      <w:r>
        <w:rPr>
          <w:rFonts w:hint="eastAsia"/>
        </w:rPr>
        <w:t xml:space="preserve">年全年，官方口径）</w:t>
      </w:r>
    </w:p>
    <w:p>
      <w:pPr>
        <w:pStyle w:val="FirstParagraph"/>
      </w:pPr>
      <w:r>
        <w:rPr>
          <w:rFonts w:hint="eastAsia"/>
        </w:rPr>
        <w:t xml:space="preserve">以下数字来自越南统计机构</w:t>
      </w:r>
      <w:r>
        <w:t xml:space="preserve"> 2025 </w:t>
      </w:r>
      <w:r>
        <w:rPr>
          <w:rFonts w:hint="eastAsia"/>
        </w:rPr>
        <w:t xml:space="preserve">年第四季度及全年经济社会情况报告，经政府门户发布。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指标</w:t>
            </w:r>
          </w:p>
        </w:tc>
        <w:tc>
          <w:tcPr/>
          <w:p>
            <w:pPr>
              <w:pStyle w:val="Compact"/>
            </w:pPr>
            <w:r>
              <w:t xml:space="preserve">2025 </w:t>
            </w:r>
            <w:r>
              <w:rPr>
                <w:rFonts w:hint="eastAsia"/>
              </w:rPr>
              <w:t xml:space="preserve">年全年</w:t>
            </w:r>
          </w:p>
        </w:tc>
      </w:tr>
      <w:tr>
        <w:tc>
          <w:tcPr/>
          <w:p>
            <w:pPr>
              <w:pStyle w:val="Compact"/>
            </w:pPr>
            <w:r>
              <w:t xml:space="preserve">GDP </w:t>
            </w:r>
            <w:r>
              <w:rPr>
                <w:rFonts w:hint="eastAsia"/>
              </w:rPr>
              <w:t xml:space="preserve">增长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8.02%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人均</w:t>
            </w:r>
            <w:r>
              <w:t xml:space="preserve"> GDP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5,026 </w:t>
            </w:r>
            <w:r>
              <w:rPr>
                <w:rFonts w:hint="eastAsia"/>
                <w:b/>
                <w:bCs/>
              </w:rPr>
              <w:t xml:space="preserve">美元</w:t>
            </w:r>
            <w:r>
              <w:rPr>
                <w:rFonts w:hint="eastAsia"/>
              </w:rPr>
              <w:t xml:space="preserve">（现价）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全年平均人口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1.023 </w:t>
            </w:r>
            <w:r>
              <w:rPr>
                <w:rFonts w:hint="eastAsia"/>
                <w:b/>
                <w:bCs/>
              </w:rPr>
              <w:t xml:space="preserve">亿人</w:t>
            </w:r>
          </w:p>
        </w:tc>
      </w:tr>
      <w:tr>
        <w:tc>
          <w:tcPr/>
          <w:p>
            <w:pPr>
              <w:pStyle w:val="Compact"/>
            </w:pPr>
            <w:r>
              <w:t xml:space="preserve">CPI </w:t>
            </w:r>
            <w:r>
              <w:rPr>
                <w:rFonts w:hint="eastAsia"/>
              </w:rPr>
              <w:t xml:space="preserve">平均涨幅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3.31%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社会消费品零售总额与消费服务收入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7,008.9 </w:t>
            </w:r>
            <w:r>
              <w:rPr>
                <w:rFonts w:hint="eastAsia"/>
                <w:b/>
                <w:bCs/>
              </w:rPr>
              <w:t xml:space="preserve">万亿越盾</w:t>
            </w:r>
            <w:r>
              <w:rPr>
                <w:rFonts w:hint="eastAsia"/>
              </w:rPr>
              <w:t xml:space="preserve">，同比</w:t>
            </w:r>
            <w:r>
              <w:t xml:space="preserve"> </w:t>
            </w:r>
            <w:r>
              <w:rPr>
                <w:b/>
                <w:bCs/>
              </w:rPr>
              <w:t xml:space="preserve">+9.2%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怎么读这五个数：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人均</w:t>
      </w:r>
      <w:r>
        <w:rPr>
          <w:b/>
          <w:bCs/>
        </w:rPr>
        <w:t xml:space="preserve"> GDP 5,026 </w:t>
      </w:r>
      <w:r>
        <w:rPr>
          <w:rFonts w:hint="eastAsia"/>
          <w:b/>
          <w:bCs/>
        </w:rPr>
        <w:t xml:space="preserve">美元</w:t>
      </w:r>
      <w:r>
        <w:rPr>
          <w:rFonts w:hint="eastAsia"/>
        </w:rPr>
        <w:t xml:space="preserve">是一个常被引用的门槛值附近的水平。但请注意这是</w:t>
      </w:r>
      <w:r>
        <w:rPr>
          <w:rFonts w:hint="eastAsia"/>
          <w:b/>
          <w:bCs/>
        </w:rPr>
        <w:t xml:space="preserve">人均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GDP，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不是人均可支配收入，也不是家庭收入中位数</w:t>
      </w:r>
      <w:r>
        <w:t xml:space="preserve"> </w:t>
      </w:r>
      <w:r>
        <w:t xml:space="preserve">—— </w:t>
      </w:r>
      <w:r>
        <w:rPr>
          <w:rFonts w:hint="eastAsia"/>
        </w:rPr>
        <w:t xml:space="preserve">用它直接推算某价位产品的目标人群规模，</w:t>
      </w:r>
      <w:r>
        <w:t xml:space="preserve"> </w:t>
      </w:r>
      <w:r>
        <w:rPr>
          <w:rFonts w:hint="eastAsia"/>
        </w:rPr>
        <w:t xml:space="preserve">是一个常见但错误的跳跃。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零售</w:t>
      </w:r>
      <w:r>
        <w:rPr>
          <w:b/>
          <w:bCs/>
        </w:rPr>
        <w:t xml:space="preserve"> +9.2% </w:t>
      </w:r>
      <w:r>
        <w:rPr>
          <w:rFonts w:hint="eastAsia"/>
          <w:b/>
          <w:bCs/>
        </w:rPr>
        <w:t xml:space="preserve">高于</w:t>
      </w:r>
      <w:r>
        <w:rPr>
          <w:b/>
          <w:bCs/>
        </w:rPr>
        <w:t xml:space="preserve"> CPI +3.31%</w:t>
      </w:r>
      <w:r>
        <w:rPr>
          <w:rFonts w:hint="eastAsia"/>
        </w:rPr>
        <w:t xml:space="preserve">，意味着增长不全是价格因素。这是”消费在实际增长”</w:t>
      </w:r>
      <w:r>
        <w:t xml:space="preserve"> </w:t>
      </w:r>
      <w:r>
        <w:rPr>
          <w:rFonts w:hint="eastAsia"/>
        </w:rPr>
        <w:t xml:space="preserve">这一判断能找到的、最接近直接证据的一条。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人口</w:t>
      </w:r>
      <w:r>
        <w:rPr>
          <w:b/>
          <w:bCs/>
        </w:rPr>
        <w:t xml:space="preserve"> 1.023 </w:t>
      </w:r>
      <w:r>
        <w:rPr>
          <w:rFonts w:hint="eastAsia"/>
          <w:b/>
          <w:bCs/>
        </w:rPr>
        <w:t xml:space="preserve">亿</w:t>
      </w:r>
      <w:r>
        <w:rPr>
          <w:rFonts w:hint="eastAsia"/>
        </w:rPr>
        <w:t xml:space="preserve">是分母。任何”市场规模”的说法，先看它用的分母对不对。</w:t>
      </w:r>
    </w:p>
    <w:p>
      <w:pPr>
        <w:pStyle w:val="BlockText"/>
      </w:pPr>
      <w:r>
        <w:rPr>
          <w:rFonts w:hint="eastAsia"/>
          <w:b/>
          <w:bCs/>
        </w:rPr>
        <w:t xml:space="preserve">本文不写城镇化率。</w:t>
      </w:r>
      <w:r>
        <w:t xml:space="preserve"> </w:t>
      </w:r>
      <w:r>
        <w:rPr>
          <w:rFonts w:hint="eastAsia"/>
        </w:rPr>
        <w:t xml:space="preserve">该报告未提供，而二手来源给出的口径互不一致。</w:t>
      </w:r>
      <w:r>
        <w:t xml:space="preserve"> </w:t>
      </w:r>
      <w:r>
        <w:rPr>
          <w:rFonts w:hint="eastAsia"/>
        </w:rPr>
        <w:t xml:space="preserve">按本频道编辑纪律，未核到的数字不写。</w:t>
      </w:r>
    </w:p>
    <w:p>
      <w:r>
        <w:pict>
          <v:rect style="width:0;height:1.5pt" o:hralign="center" o:hrstd="t" o:hr="t"/>
        </w:pict>
      </w:r>
    </w:p>
    <w:bookmarkEnd w:id="9"/>
    <w:bookmarkStart w:id="14" w:name="二2026-年的四条硬约束"/>
    <w:p>
      <w:pPr>
        <w:pStyle w:val="Heading2"/>
      </w:pPr>
      <w:r>
        <w:rPr>
          <w:rFonts w:hint="eastAsia"/>
        </w:rPr>
        <w:t xml:space="preserve">二、2026</w:t>
      </w:r>
      <w:r>
        <w:t xml:space="preserve"> </w:t>
      </w:r>
      <w:r>
        <w:rPr>
          <w:rFonts w:hint="eastAsia"/>
        </w:rPr>
        <w:t xml:space="preserve">年的四条硬约束</w:t>
      </w:r>
    </w:p>
    <w:p>
      <w:pPr>
        <w:pStyle w:val="FirstParagraph"/>
      </w:pPr>
      <w:r>
        <w:rPr>
          <w:rFonts w:hint="eastAsia"/>
        </w:rPr>
        <w:t xml:space="preserve">这一节和趋势判断无关。</w:t>
      </w:r>
      <w:r>
        <w:rPr>
          <w:rFonts w:hint="eastAsia"/>
          <w:b/>
          <w:bCs/>
        </w:rPr>
        <w:t xml:space="preserve">无论你怎么看消费升级，这四条都会照常生效。</w:t>
      </w:r>
    </w:p>
    <w:bookmarkStart w:id="10" w:name="含糖饮料税负分两步上升"/>
    <w:p>
      <w:pPr>
        <w:pStyle w:val="Heading3"/>
      </w:pPr>
      <w:r>
        <w:t xml:space="preserve">2.1 </w:t>
      </w:r>
      <w:r>
        <w:rPr>
          <w:rFonts w:hint="eastAsia"/>
        </w:rPr>
        <w:t xml:space="preserve">含糖饮料：税负分两步上升</w:t>
      </w:r>
    </w:p>
    <w:p>
      <w:pPr>
        <w:pStyle w:val="FirstParagraph"/>
      </w:pPr>
      <w:r>
        <w:rPr>
          <w:b/>
          <w:bCs/>
        </w:rPr>
        <w:t xml:space="preserve">Luật 66/2025/QH15</w:t>
      </w:r>
      <w:r>
        <w:rPr>
          <w:rFonts w:hint="eastAsia"/>
        </w:rPr>
        <w:t xml:space="preserve">（特别消费税法，2025-06-14</w:t>
      </w:r>
      <w:r>
        <w:t xml:space="preserve"> </w:t>
      </w:r>
      <w:r>
        <w:rPr>
          <w:rFonts w:hint="eastAsia"/>
        </w:rPr>
        <w:t xml:space="preserve">通过，2026-01-01</w:t>
      </w:r>
      <w:r>
        <w:t xml:space="preserve"> </w:t>
      </w:r>
      <w:r>
        <w:rPr>
          <w:rFonts w:hint="eastAsia"/>
        </w:rPr>
        <w:t xml:space="preserve">生效）</w:t>
      </w:r>
      <w:r>
        <w:t xml:space="preserve"> </w:t>
      </w:r>
      <w:r>
        <w:rPr>
          <w:rFonts w:hint="eastAsia"/>
        </w:rPr>
        <w:t xml:space="preserve">首次把含糖饮料纳入特别消费税征收范围。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生效日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税率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适用对象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2027-01-01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8%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按越南国家标准（TCVN）含糖量</w:t>
            </w:r>
            <w:r>
              <w:t xml:space="preserve"> </w:t>
            </w:r>
            <w:r>
              <w:rPr>
                <w:b/>
                <w:bCs/>
              </w:rPr>
              <w:t xml:space="preserve">&gt;5g/100mL</w:t>
            </w:r>
            <w:r>
              <w:t xml:space="preserve"> </w:t>
            </w:r>
            <w:r>
              <w:rPr>
                <w:rFonts w:hint="eastAsia"/>
              </w:rPr>
              <w:t xml:space="preserve">的饮料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2028-01-01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同上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同一部法律还规定自</w:t>
      </w:r>
      <w:r>
        <w:t xml:space="preserve"> 2027 </w:t>
      </w:r>
      <w:r>
        <w:rPr>
          <w:rFonts w:hint="eastAsia"/>
        </w:rPr>
        <w:t xml:space="preserve">年起对酒、啤酒、烟草提高税率。</w:t>
      </w:r>
    </w:p>
    <w:p>
      <w:pPr>
        <w:pStyle w:val="BlockText"/>
      </w:pPr>
      <w:r>
        <w:rPr>
          <w:rFonts w:hint="eastAsia"/>
          <w:b/>
          <w:bCs/>
        </w:rPr>
        <w:t xml:space="preserve">为什么这条要写进品牌策略而不是税务文档。</w:t>
      </w:r>
      <w:r>
        <w:t xml:space="preserve"> </w:t>
      </w:r>
      <w:r>
        <w:rPr>
          <w:rFonts w:hint="eastAsia"/>
        </w:rPr>
        <w:t xml:space="preserve">税率是</w:t>
      </w:r>
      <w:r>
        <w:t xml:space="preserve"> 2027 </w:t>
      </w:r>
      <w:r>
        <w:rPr>
          <w:rFonts w:hint="eastAsia"/>
        </w:rPr>
        <w:t xml:space="preserve">与</w:t>
      </w:r>
      <w:r>
        <w:t xml:space="preserve"> 2028 </w:t>
      </w:r>
      <w:r>
        <w:rPr>
          <w:rFonts w:hint="eastAsia"/>
        </w:rPr>
        <w:t xml:space="preserve">生效的，但</w:t>
      </w:r>
      <w:r>
        <w:rPr>
          <w:rFonts w:hint="eastAsia"/>
          <w:b/>
          <w:bCs/>
        </w:rPr>
        <w:t xml:space="preserve">决策必须发生在今天</w:t>
      </w:r>
      <w:r>
        <w:rPr>
          <w:rFonts w:hint="eastAsia"/>
        </w:rPr>
        <w:t xml:space="preserve">：</w:t>
      </w:r>
      <w:r>
        <w:t xml:space="preserve"> </w:t>
      </w:r>
      <w:r>
        <w:t xml:space="preserve">- </w:t>
      </w:r>
      <w:r>
        <w:rPr>
          <w:rFonts w:hint="eastAsia"/>
        </w:rPr>
        <w:t xml:space="preserve">配方降糖到</w:t>
      </w:r>
      <w:r>
        <w:t xml:space="preserve"> 5g/100mL </w:t>
      </w:r>
      <w:r>
        <w:rPr>
          <w:rFonts w:hint="eastAsia"/>
        </w:rPr>
        <w:t xml:space="preserve">门槛以下，是研发</w:t>
      </w:r>
      <w:r>
        <w:t xml:space="preserve"> + </w:t>
      </w:r>
      <w:r>
        <w:rPr>
          <w:rFonts w:hint="eastAsia"/>
        </w:rPr>
        <w:t xml:space="preserve">供应链</w:t>
      </w:r>
      <w:r>
        <w:t xml:space="preserve"> + </w:t>
      </w:r>
      <w:r>
        <w:rPr>
          <w:rFonts w:hint="eastAsia"/>
        </w:rPr>
        <w:t xml:space="preserve">口感验证的完整项目，提前量通常以年计；</w:t>
      </w:r>
      <w:r>
        <w:t xml:space="preserve"> </w:t>
      </w:r>
      <w:r>
        <w:t xml:space="preserve">- 2027 </w:t>
      </w:r>
      <w:r>
        <w:rPr>
          <w:rFonts w:hint="eastAsia"/>
        </w:rPr>
        <w:t xml:space="preserve">年度的价格盘、渠道返利与促销预算，现在就在排；</w:t>
      </w:r>
      <w:r>
        <w:t xml:space="preserve"> </w:t>
      </w:r>
      <w:r>
        <w:t xml:space="preserve">- </w:t>
      </w:r>
      <w:r>
        <w:rPr>
          <w:rFonts w:hint="eastAsia"/>
        </w:rPr>
        <w:t xml:space="preserve">若选择不改配方而由品牌承担税负，那是一笔需要提前进入财务模型的成本。</w:t>
      </w:r>
    </w:p>
    <w:p>
      <w:pPr>
        <w:pStyle w:val="BlockText"/>
      </w:pPr>
      <w:r>
        <w:rPr>
          <w:rFonts w:hint="eastAsia"/>
          <w:b/>
          <w:bCs/>
        </w:rPr>
        <w:t xml:space="preserve">这是”高端化”路线最容易被忽略的一个反向力</w:t>
      </w:r>
      <w:r>
        <w:rPr>
          <w:rFonts w:hint="eastAsia"/>
        </w:rPr>
        <w:t xml:space="preserve">：升级往往意味着更高的糖、更重的口味、</w:t>
      </w:r>
      <w:r>
        <w:t xml:space="preserve"> </w:t>
      </w:r>
      <w:r>
        <w:rPr>
          <w:rFonts w:hint="eastAsia"/>
        </w:rPr>
        <w:t xml:space="preserve">更强的即饮属性，而它们正好落在加税的那一侧。</w:t>
      </w:r>
    </w:p>
    <w:bookmarkEnd w:id="10"/>
    <w:bookmarkStart w:id="11" w:name="酒类品牌建设的媒介面被法律切掉一块"/>
    <w:p>
      <w:pPr>
        <w:pStyle w:val="Heading3"/>
      </w:pPr>
      <w:r>
        <w:t xml:space="preserve">2.2 </w:t>
      </w:r>
      <w:r>
        <w:rPr>
          <w:rFonts w:hint="eastAsia"/>
        </w:rPr>
        <w:t xml:space="preserve">酒类：品牌建设的媒介面被法律切掉一块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品类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限制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依据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酒精度</w:t>
            </w:r>
            <w:r>
              <w:t xml:space="preserve"> </w:t>
            </w:r>
            <w:r>
              <w:rPr>
                <w:b/>
                <w:bCs/>
              </w:rPr>
              <w:t xml:space="preserve">≥15 </w:t>
            </w:r>
            <w:r>
              <w:rPr>
                <w:rFonts w:hint="eastAsia"/>
                <w:b/>
                <w:bCs/>
              </w:rPr>
              <w:t xml:space="preserve">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禁止广告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44/2019/QH14</w:t>
            </w:r>
            <w:r>
              <w:t xml:space="preserve"> </w:t>
            </w:r>
            <w:r>
              <w:rPr>
                <w:rFonts w:hint="eastAsia"/>
              </w:rPr>
              <w:t xml:space="preserve">第</w:t>
            </w:r>
            <w:r>
              <w:t xml:space="preserve"> 5 </w:t>
            </w:r>
            <w:r>
              <w:rPr>
                <w:rFonts w:hint="eastAsia"/>
              </w:rPr>
              <w:t xml:space="preserve">条第</w:t>
            </w:r>
            <w:r>
              <w:t xml:space="preserve"> 7 </w:t>
            </w:r>
            <w:r>
              <w:rPr>
                <w:rFonts w:hint="eastAsia"/>
              </w:rPr>
              <w:t xml:space="preserve">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5.5–15 </w:t>
            </w:r>
            <w:r>
              <w:rPr>
                <w:rFonts w:hint="eastAsia"/>
              </w:rPr>
              <w:t xml:space="preserve">度的酒、≥5.5</w:t>
            </w:r>
            <w:r>
              <w:t xml:space="preserve"> </w:t>
            </w:r>
            <w:r>
              <w:rPr>
                <w:rFonts w:hint="eastAsia"/>
              </w:rPr>
              <w:t xml:space="preserve">度的啤酒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不得在文艺、戏剧、电影、体育活动中广告；不得用于户外广告媒介（酒类经营场所招牌除外）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44/2019/QH14</w:t>
            </w:r>
            <w:r>
              <w:t xml:space="preserve"> </w:t>
            </w:r>
            <w:r>
              <w:rPr>
                <w:rFonts w:hint="eastAsia"/>
              </w:rPr>
              <w:t xml:space="preserve">第</w:t>
            </w:r>
            <w:r>
              <w:t xml:space="preserve"> 12 </w:t>
            </w:r>
            <w:r>
              <w:rPr>
                <w:rFonts w:hint="eastAsia"/>
              </w:rPr>
              <w:t xml:space="preserve">条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对品牌策略的含义</w:t>
      </w:r>
      <w:r>
        <w:rPr>
          <w:rFonts w:hint="eastAsia"/>
        </w:rPr>
        <w:t xml:space="preserve">：高度酒在越南</w:t>
      </w:r>
      <w:r>
        <w:rPr>
          <w:rFonts w:hint="eastAsia"/>
          <w:b/>
          <w:bCs/>
        </w:rPr>
        <w:t xml:space="preserve">没有合法的广告路径</w:t>
      </w:r>
      <w:r>
        <w:t xml:space="preserve">。</w:t>
      </w:r>
      <w:r>
        <w:t xml:space="preserve"> </w:t>
      </w:r>
      <w:r>
        <w:rPr>
          <w:rFonts w:hint="eastAsia"/>
        </w:rPr>
        <w:t xml:space="preserve">这类品类的品牌资产只能靠产品、包装、渠道、场景、口碑与合法的非广告形式积累。</w:t>
      </w:r>
      <w:r>
        <w:t xml:space="preserve"> </w:t>
      </w:r>
      <w:r>
        <w:rPr>
          <w:rFonts w:hint="eastAsia"/>
          <w:b/>
          <w:bCs/>
        </w:rPr>
        <w:t xml:space="preserve">把在别国行得通的媒介组合直接搬过来，会撞到法律，不是撞到预算。</w:t>
      </w:r>
    </w:p>
    <w:bookmarkEnd w:id="11"/>
    <w:bookmarkStart w:id="12" w:name="消费者保护法已经换代2024-07-01"/>
    <w:p>
      <w:pPr>
        <w:pStyle w:val="Heading3"/>
      </w:pPr>
      <w:r>
        <w:t xml:space="preserve">2.3 </w:t>
      </w:r>
      <w:r>
        <w:rPr>
          <w:rFonts w:hint="eastAsia"/>
        </w:rPr>
        <w:t xml:space="preserve">消费者保护法已经换代（2024-07-01）</w:t>
      </w:r>
    </w:p>
    <w:p>
      <w:pPr>
        <w:pStyle w:val="FirstParagraph"/>
      </w:pPr>
      <w:r>
        <w:rPr>
          <w:b/>
          <w:bCs/>
        </w:rPr>
        <w:t xml:space="preserve">Luật 19/2023/QH15</w:t>
      </w:r>
      <w:r>
        <w:rPr>
          <w:rFonts w:hint="eastAsia"/>
        </w:rPr>
        <w:t xml:space="preserve">（2023-06-20</w:t>
      </w:r>
      <w:r>
        <w:t xml:space="preserve"> </w:t>
      </w:r>
      <w:r>
        <w:rPr>
          <w:rFonts w:hint="eastAsia"/>
        </w:rPr>
        <w:t xml:space="preserve">通过，</w:t>
      </w:r>
      <w:r>
        <w:rPr>
          <w:b/>
          <w:bCs/>
        </w:rPr>
        <w:t xml:space="preserve">2024-07-01 </w:t>
      </w:r>
      <w:r>
        <w:rPr>
          <w:rFonts w:hint="eastAsia"/>
          <w:b/>
          <w:bCs/>
        </w:rPr>
        <w:t xml:space="preserve">生效</w:t>
      </w:r>
      <w:r>
        <w:rPr>
          <w:rFonts w:hint="eastAsia"/>
        </w:rPr>
        <w:t xml:space="preserve">），共</w:t>
      </w:r>
      <w:r>
        <w:t xml:space="preserve"> </w:t>
      </w:r>
      <w:r>
        <w:rPr>
          <w:b/>
          <w:bCs/>
        </w:rPr>
        <w:t xml:space="preserve">7 </w:t>
      </w:r>
      <w:r>
        <w:rPr>
          <w:rFonts w:hint="eastAsia"/>
          <w:b/>
          <w:bCs/>
        </w:rPr>
        <w:t xml:space="preserve">章</w:t>
      </w:r>
      <w:r>
        <w:rPr>
          <w:b/>
          <w:bCs/>
        </w:rPr>
        <w:t xml:space="preserve"> 80 </w:t>
      </w:r>
      <w:r>
        <w:rPr>
          <w:rFonts w:hint="eastAsia"/>
          <w:b/>
          <w:bCs/>
        </w:rPr>
        <w:t xml:space="preserve">条</w:t>
      </w:r>
      <w:r>
        <w:rPr>
          <w:rFonts w:hint="eastAsia"/>
        </w:rPr>
        <w:t xml:space="preserve">，</w:t>
      </w:r>
      <w:r>
        <w:t xml:space="preserve"> </w:t>
      </w:r>
      <w:r>
        <w:rPr>
          <w:rFonts w:hint="eastAsia"/>
        </w:rPr>
        <w:t xml:space="preserve">相较</w:t>
      </w:r>
      <w:r>
        <w:t xml:space="preserve"> 2010 </w:t>
      </w:r>
      <w:r>
        <w:rPr>
          <w:rFonts w:hint="eastAsia"/>
        </w:rPr>
        <w:t xml:space="preserve">年旧法由</w:t>
      </w:r>
      <w:r>
        <w:t xml:space="preserve"> 51 </w:t>
      </w:r>
      <w:r>
        <w:rPr>
          <w:rFonts w:hint="eastAsia"/>
        </w:rPr>
        <w:t xml:space="preserve">条扩至</w:t>
      </w:r>
      <w:r>
        <w:t xml:space="preserve"> 80 </w:t>
      </w:r>
      <w:r>
        <w:rPr>
          <w:rFonts w:hint="eastAsia"/>
        </w:rPr>
        <w:t xml:space="preserve">条，新增第三章，专门规范经营者在</w:t>
      </w:r>
      <w:r>
        <w:rPr>
          <w:rFonts w:hint="eastAsia"/>
          <w:b/>
          <w:bCs/>
        </w:rPr>
        <w:t xml:space="preserve">特殊交易</w:t>
      </w:r>
      <w:r>
        <w:rPr>
          <w:rFonts w:hint="eastAsia"/>
        </w:rPr>
        <w:t xml:space="preserve">中的责任。</w:t>
      </w:r>
    </w:p>
    <w:p>
      <w:pPr>
        <w:pStyle w:val="BodyText"/>
      </w:pPr>
      <w:r>
        <w:rPr>
          <w:rFonts w:hint="eastAsia"/>
        </w:rPr>
        <w:t xml:space="preserve">与品牌决策直接相关的三点：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明确了</w:t>
      </w:r>
      <w:r>
        <w:rPr>
          <w:b/>
          <w:bCs/>
        </w:rPr>
        <w:t xml:space="preserve"> 7 </w:t>
      </w:r>
      <w:r>
        <w:rPr>
          <w:rFonts w:hint="eastAsia"/>
          <w:b/>
          <w:bCs/>
        </w:rPr>
        <w:t xml:space="preserve">类弱势消费者</w:t>
      </w:r>
      <w:r>
        <w:rPr>
          <w:rFonts w:hint="eastAsia"/>
        </w:rPr>
        <w:t xml:space="preserve">：老年人、残疾人、儿童、少数民族、边远及经济社会困难地区居民、</w:t>
      </w:r>
      <w:r>
        <w:t xml:space="preserve"> </w:t>
      </w:r>
      <w:r>
        <w:rPr>
          <w:rFonts w:hint="eastAsia"/>
        </w:rPr>
        <w:t xml:space="preserve">孕妇或抚养</w:t>
      </w:r>
      <w:r>
        <w:t xml:space="preserve"> 36 </w:t>
      </w:r>
      <w:r>
        <w:rPr>
          <w:rFonts w:hint="eastAsia"/>
        </w:rPr>
        <w:t xml:space="preserve">个月以下子女者、重症患者与贫困户成员。</w:t>
      </w:r>
      <w:r>
        <w:t xml:space="preserve"> </w:t>
      </w:r>
      <w:r>
        <w:rPr>
          <w:rFonts w:hint="eastAsia"/>
          <w:b/>
          <w:bCs/>
        </w:rPr>
        <w:t xml:space="preserve">面向这些人群的营销与销售方式受额外约束。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新增了对多层次销售组织与数字平台经营者的禁止行为</w:t>
      </w:r>
      <w:r>
        <w:rPr>
          <w:rFonts w:hint="eastAsia"/>
        </w:rPr>
        <w:t xml:space="preserve">，其中包括</w:t>
      </w:r>
      <w:r>
        <w:t xml:space="preserve"> </w:t>
      </w:r>
      <w:r>
        <w:rPr>
          <w:rFonts w:hint="eastAsia"/>
          <w:b/>
          <w:bCs/>
        </w:rPr>
        <w:t xml:space="preserve">禁止使用网红推广产品却不披露赞助关系</w:t>
      </w:r>
      <w:r>
        <w:t xml:space="preserve">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新增了”保障产品安全、计量、数量、重量、质量与功能”的责任条款</w:t>
      </w:r>
      <w:r>
        <w:t xml:space="preserve"> </w:t>
      </w:r>
      <w:r>
        <w:t xml:space="preserve">——</w:t>
      </w:r>
      <w:r>
        <w:t xml:space="preserve"> </w:t>
      </w:r>
      <w:r>
        <w:rPr>
          <w:rFonts w:hint="eastAsia"/>
        </w:rPr>
        <w:t xml:space="preserve">这直接对应”升级”叙事里最常用的那些宣称。</w:t>
      </w:r>
    </w:p>
    <w:bookmarkEnd w:id="12"/>
    <w:bookmarkStart w:id="13" w:name="会员与数据2026-01-01-起换法"/>
    <w:p>
      <w:pPr>
        <w:pStyle w:val="Heading3"/>
      </w:pPr>
      <w:r>
        <w:t xml:space="preserve">2.4 </w:t>
      </w:r>
      <w:r>
        <w:rPr>
          <w:rFonts w:hint="eastAsia"/>
        </w:rPr>
        <w:t xml:space="preserve">会员与数据：2026-01-01</w:t>
      </w:r>
      <w:r>
        <w:t xml:space="preserve"> </w:t>
      </w:r>
      <w:r>
        <w:rPr>
          <w:rFonts w:hint="eastAsia"/>
        </w:rPr>
        <w:t xml:space="preserve">起换法</w:t>
      </w:r>
    </w:p>
    <w:p>
      <w:pPr>
        <w:pStyle w:val="FirstParagraph"/>
      </w:pPr>
      <w:r>
        <w:rPr>
          <w:b/>
          <w:bCs/>
        </w:rPr>
        <w:t xml:space="preserve">Luật 91/2025/QH15</w:t>
      </w:r>
      <w:r>
        <w:rPr>
          <w:rFonts w:hint="eastAsia"/>
        </w:rPr>
        <w:t xml:space="preserve">（个人数据保护法）自</w:t>
      </w:r>
      <w:r>
        <w:t xml:space="preserve"> </w:t>
      </w:r>
      <w:r>
        <w:rPr>
          <w:b/>
          <w:bCs/>
        </w:rPr>
        <w:t xml:space="preserve">2026-01-01</w:t>
      </w:r>
      <w:r>
        <w:t xml:space="preserve"> </w:t>
      </w:r>
      <w:r>
        <w:rPr>
          <w:rFonts w:hint="eastAsia"/>
        </w:rPr>
        <w:t xml:space="preserve">生效，配套</w:t>
      </w:r>
      <w:r>
        <w:t xml:space="preserve"> </w:t>
      </w:r>
      <w:r>
        <w:rPr>
          <w:b/>
          <w:bCs/>
        </w:rPr>
        <w:t xml:space="preserve">Nghị định 356/2025/NĐ-CP</w:t>
      </w:r>
      <w:r>
        <w:rPr>
          <w:rFonts w:hint="eastAsia"/>
        </w:rPr>
        <w:t xml:space="preserve">，</w:t>
      </w:r>
      <w:r>
        <w:t xml:space="preserve"> </w:t>
      </w:r>
      <w:r>
        <w:rPr>
          <w:rFonts w:hint="eastAsia"/>
        </w:rPr>
        <w:t xml:space="preserve">确立知情、同意、访问、更正与删除请求等基本数据权利，且</w:t>
      </w:r>
      <w:r>
        <w:rPr>
          <w:rFonts w:hint="eastAsia"/>
          <w:b/>
          <w:bCs/>
        </w:rPr>
        <w:t xml:space="preserve">适用于处理越南公民个人数据的外国组织</w:t>
      </w:r>
      <w:r>
        <w:t xml:space="preserve">。</w:t>
      </w:r>
    </w:p>
    <w:p>
      <w:pPr>
        <w:pStyle w:val="BodyText"/>
      </w:pPr>
      <w:r>
        <w:rPr>
          <w:rFonts w:hint="eastAsia"/>
        </w:rPr>
        <w:t xml:space="preserve">会员体系、CRM、忠诚度计划、个性化推荐</w:t>
      </w:r>
      <w:r>
        <w:t xml:space="preserve"> —— </w:t>
      </w:r>
      <w:r>
        <w:rPr>
          <w:rFonts w:hint="eastAsia"/>
        </w:rPr>
        <w:t xml:space="preserve">这些正是”消费升级”打法的核心基础设施，</w:t>
      </w:r>
      <w:r>
        <w:t xml:space="preserve"> </w:t>
      </w:r>
      <w:r>
        <w:rPr>
          <w:rFonts w:hint="eastAsia"/>
        </w:rPr>
        <w:t xml:space="preserve">现在全部落在这部法律的射程内。</w:t>
      </w:r>
      <w:r>
        <w:rPr>
          <w:rFonts w:hint="eastAsia"/>
          <w:b/>
          <w:bCs/>
        </w:rPr>
        <w:t xml:space="preserve">数据合规不是</w:t>
      </w:r>
      <w:r>
        <w:rPr>
          <w:b/>
          <w:bCs/>
        </w:rPr>
        <w:t xml:space="preserve"> IT </w:t>
      </w:r>
      <w:r>
        <w:rPr>
          <w:rFonts w:hint="eastAsia"/>
          <w:b/>
          <w:bCs/>
        </w:rPr>
        <w:t xml:space="preserve">部门的事项，它是品牌资产能否留存的前提。</w:t>
      </w:r>
    </w:p>
    <w:p>
      <w:r>
        <w:pict>
          <v:rect style="width:0;height:1.5pt" o:hralign="center" o:hrstd="t" o:hr="t"/>
        </w:pict>
      </w:r>
    </w:p>
    <w:bookmarkEnd w:id="13"/>
    <w:bookmarkEnd w:id="14"/>
    <w:bookmarkStart w:id="15" w:name="三定价的两个可核验锚点"/>
    <w:p>
      <w:pPr>
        <w:pStyle w:val="Heading2"/>
      </w:pPr>
      <w:r>
        <w:rPr>
          <w:rFonts w:hint="eastAsia"/>
        </w:rPr>
        <w:t xml:space="preserve">三、定价的两个可核验锚点</w:t>
      </w:r>
    </w:p>
    <w:p>
      <w:pPr>
        <w:pStyle w:val="FirstParagraph"/>
      </w:pPr>
      <w:r>
        <w:rPr>
          <w:rFonts w:hint="eastAsia"/>
        </w:rPr>
        <w:t xml:space="preserve">做价格带决策时，至少有两个数字是能核到出处的：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锚点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依据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地区最低工资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</w:t>
            </w:r>
            <w:r>
              <w:t xml:space="preserve"> </w:t>
            </w:r>
            <w:r>
              <w:rPr>
                <w:b/>
                <w:bCs/>
              </w:rPr>
              <w:t xml:space="preserve">2026-01-01</w:t>
            </w:r>
            <w:r>
              <w:t xml:space="preserve"> </w:t>
            </w:r>
            <w:r>
              <w:rPr>
                <w:rFonts w:hint="eastAsia"/>
              </w:rPr>
              <w:t xml:space="preserve">起上调</w:t>
            </w:r>
            <w:r>
              <w:t xml:space="preserve"> </w:t>
            </w:r>
            <w:r>
              <w:rPr>
                <w:b/>
                <w:bCs/>
              </w:rPr>
              <w:t xml:space="preserve">7.2%</w:t>
            </w:r>
          </w:p>
        </w:tc>
        <w:tc>
          <w:tcPr/>
          <w:p>
            <w:pPr>
              <w:pStyle w:val="Compact"/>
            </w:pPr>
            <w:r>
              <w:t xml:space="preserve">Nghị định</w:t>
            </w:r>
            <w:r>
              <w:t xml:space="preserve"> </w:t>
            </w:r>
            <w:r>
              <w:rPr>
                <w:b/>
                <w:bCs/>
              </w:rPr>
              <w:t xml:space="preserve">293/2025/NĐ-CP</w:t>
            </w:r>
          </w:p>
        </w:tc>
      </w:tr>
      <w:tr>
        <w:tc>
          <w:tcPr/>
          <w:p>
            <w:pPr>
              <w:pStyle w:val="Compact"/>
            </w:pPr>
            <w:r>
              <w:t xml:space="preserve">CPI </w:t>
            </w:r>
            <w:r>
              <w:rPr>
                <w:rFonts w:hint="eastAsia"/>
              </w:rPr>
              <w:t xml:space="preserve">平均涨幅</w:t>
            </w:r>
          </w:p>
        </w:tc>
        <w:tc>
          <w:tcPr/>
          <w:p>
            <w:pPr>
              <w:pStyle w:val="Compact"/>
            </w:pPr>
            <w:r>
              <w:t xml:space="preserve">2025 </w:t>
            </w:r>
            <w:r>
              <w:rPr>
                <w:rFonts w:hint="eastAsia"/>
              </w:rPr>
              <w:t xml:space="preserve">年</w:t>
            </w:r>
            <w:r>
              <w:t xml:space="preserve"> </w:t>
            </w:r>
            <w:r>
              <w:rPr>
                <w:b/>
                <w:bCs/>
              </w:rPr>
              <w:t xml:space="preserve">3.31%</w:t>
            </w:r>
          </w:p>
        </w:tc>
        <w:tc>
          <w:tcPr/>
          <w:p>
            <w:pPr>
              <w:pStyle w:val="Compact"/>
            </w:pPr>
            <w:r>
              <w:t xml:space="preserve">2025 </w:t>
            </w:r>
            <w:r>
              <w:rPr>
                <w:rFonts w:hint="eastAsia"/>
              </w:rPr>
              <w:t xml:space="preserve">年全年统计报告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最低工资上调</w:t>
      </w:r>
      <w:r>
        <w:rPr>
          <w:b/>
          <w:bCs/>
        </w:rPr>
        <w:t xml:space="preserve"> 7.2% </w:t>
      </w:r>
      <w:r>
        <w:rPr>
          <w:rFonts w:hint="eastAsia"/>
          <w:b/>
          <w:bCs/>
        </w:rPr>
        <w:t xml:space="preserve">高于</w:t>
      </w:r>
      <w:r>
        <w:rPr>
          <w:b/>
          <w:bCs/>
        </w:rPr>
        <w:t xml:space="preserve"> CPI 3.31%</w:t>
      </w:r>
      <w:r>
        <w:rPr>
          <w:rFonts w:hint="eastAsia"/>
        </w:rPr>
        <w:t xml:space="preserve">，这是一条方向性信息：</w:t>
      </w:r>
      <w:r>
        <w:t xml:space="preserve"> </w:t>
      </w:r>
      <w:r>
        <w:rPr>
          <w:rFonts w:hint="eastAsia"/>
        </w:rPr>
        <w:t xml:space="preserve">低收入段的名义购买力在改善。</w:t>
      </w:r>
      <w:r>
        <w:rPr>
          <w:rFonts w:hint="eastAsia"/>
          <w:b/>
          <w:bCs/>
        </w:rPr>
        <w:t xml:space="preserve">但请注意最低工资只覆盖法定下限适用的那部分人群，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不能当作全民收入增速使用。</w:t>
      </w:r>
    </w:p>
    <w:p>
      <w:r>
        <w:pict>
          <v:rect style="width:0;height:1.5pt" o:hralign="center" o:hrstd="t" o:hr="t"/>
        </w:pict>
      </w:r>
    </w:p>
    <w:bookmarkEnd w:id="15"/>
    <w:bookmarkStart w:id="16" w:name="四方法把消费升级拆成可验证的问题"/>
    <w:p>
      <w:pPr>
        <w:pStyle w:val="Heading2"/>
      </w:pPr>
      <w:r>
        <w:rPr>
          <w:rFonts w:hint="eastAsia"/>
        </w:rPr>
        <w:t xml:space="preserve">四、方法：把”消费升级”拆成可验证的问题</w:t>
      </w:r>
    </w:p>
    <w:p>
      <w:pPr>
        <w:pStyle w:val="FirstParagraph"/>
      </w:pPr>
      <w:r>
        <w:rPr>
          <w:rFonts w:hint="eastAsia"/>
        </w:rPr>
        <w:t xml:space="preserve">与其接受一个整体判断，不如把它拆成四问，每一问都要求给出出处：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是谁在升级？</w:t>
      </w:r>
      <w:r>
        <w:t xml:space="preserve"> </w:t>
      </w:r>
      <w:r>
        <w:t xml:space="preserve">—— </w:t>
      </w:r>
      <w:r>
        <w:rPr>
          <w:rFonts w:hint="eastAsia"/>
        </w:rPr>
        <w:t xml:space="preserve">收入分层、地域、年龄段。用的分母是什么？出处在哪？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升级成什么？</w:t>
      </w:r>
      <w:r>
        <w:t xml:space="preserve"> </w:t>
      </w:r>
      <w:r>
        <w:t xml:space="preserve">—— </w:t>
      </w:r>
      <w:r>
        <w:rPr>
          <w:rFonts w:hint="eastAsia"/>
        </w:rPr>
        <w:t xml:space="preserve">从哪个价位到哪个价位、替代掉的是谁？是品类升级还是品牌切换？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在哪买？</w:t>
      </w:r>
      <w:r>
        <w:t xml:space="preserve"> </w:t>
      </w:r>
      <w:r>
        <w:t xml:space="preserve">—— </w:t>
      </w:r>
      <w:r>
        <w:rPr>
          <w:rFonts w:hint="eastAsia"/>
        </w:rPr>
        <w:t xml:space="preserve">渠道结构变化，注意</w:t>
      </w:r>
      <w:r>
        <w:t xml:space="preserve"> </w:t>
      </w:r>
      <w:r>
        <w:rPr>
          <w:b/>
          <w:bCs/>
        </w:rPr>
        <w:t xml:space="preserve">2026-07-01</w:t>
      </w:r>
      <w:r>
        <w:t xml:space="preserve"> </w:t>
      </w:r>
      <w:r>
        <w:rPr>
          <w:rFonts w:hint="eastAsia"/>
        </w:rPr>
        <w:t xml:space="preserve">的电商法分界（Luật</w:t>
      </w:r>
      <w:r>
        <w:t xml:space="preserve"> </w:t>
      </w:r>
      <w:r>
        <w:rPr>
          <w:rFonts w:hint="eastAsia"/>
        </w:rPr>
        <w:t xml:space="preserve">122/2025/QH15）。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凭什么信你？</w:t>
      </w:r>
      <w:r>
        <w:t xml:space="preserve"> </w:t>
      </w:r>
      <w:r>
        <w:t xml:space="preserve">—— </w:t>
      </w:r>
      <w:r>
        <w:rPr>
          <w:rFonts w:hint="eastAsia"/>
        </w:rPr>
        <w:t xml:space="preserve">与第二节的四条硬约束对齐：你的宣称是否在法律允许的范围内、</w:t>
      </w:r>
      <w:r>
        <w:t xml:space="preserve"> </w:t>
      </w:r>
      <w:r>
        <w:rPr>
          <w:rFonts w:hint="eastAsia"/>
        </w:rPr>
        <w:t xml:space="preserve">是否触及</w:t>
      </w:r>
      <w:r>
        <w:t xml:space="preserve"> 7 </w:t>
      </w:r>
      <w:r>
        <w:rPr>
          <w:rFonts w:hint="eastAsia"/>
        </w:rPr>
        <w:t xml:space="preserve">类弱势人群的额外约束、数据获取是否合规。</w:t>
      </w:r>
    </w:p>
    <w:p>
      <w:pPr>
        <w:pStyle w:val="BlockText"/>
      </w:pPr>
      <w:r>
        <w:rPr>
          <w:rFonts w:hint="eastAsia"/>
          <w:b/>
          <w:bCs/>
        </w:rPr>
        <w:t xml:space="preserve">第四问最常被跳过，却最贵。</w:t>
      </w:r>
      <w:r>
        <w:t xml:space="preserve"> </w:t>
      </w:r>
      <w:r>
        <w:rPr>
          <w:rFonts w:hint="eastAsia"/>
        </w:rPr>
        <w:t xml:space="preserve">前三问答错只是效率损失，第四问答错是合规事故。</w:t>
      </w:r>
    </w:p>
    <w:p>
      <w:r>
        <w:pict>
          <v:rect style="width:0;height:1.5pt" o:hralign="center" o:hrstd="t" o:hr="t"/>
        </w:pict>
      </w:r>
    </w:p>
    <w:bookmarkEnd w:id="16"/>
    <w:bookmarkStart w:id="17" w:name="五常见误判"/>
    <w:p>
      <w:pPr>
        <w:pStyle w:val="Heading2"/>
      </w:pPr>
      <w:r>
        <w:rPr>
          <w:rFonts w:hint="eastAsia"/>
        </w:rPr>
        <w:t xml:space="preserve">五、常见误判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误判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为什么错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用人均</w:t>
            </w:r>
            <w:r>
              <w:t xml:space="preserve"> GDP </w:t>
            </w:r>
            <w:r>
              <w:rPr>
                <w:rFonts w:hint="eastAsia"/>
              </w:rPr>
              <w:t xml:space="preserve">直接推算中高端人群规模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人均</w:t>
            </w:r>
            <w:r>
              <w:t xml:space="preserve"> GDP ≠ </w:t>
            </w:r>
            <w:r>
              <w:rPr>
                <w:rFonts w:hint="eastAsia"/>
              </w:rPr>
              <w:t xml:space="preserve">可支配收入</w:t>
            </w:r>
            <w:r>
              <w:t xml:space="preserve"> ≠ </w:t>
            </w:r>
            <w:r>
              <w:rPr>
                <w:rFonts w:hint="eastAsia"/>
              </w:rPr>
              <w:t xml:space="preserve">收入中位数；分布形态未知时，均值推不出分位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把别国的高端化媒介组合直接复制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酒类广告在越南有明确法定禁区（第</w:t>
            </w:r>
            <w:r>
              <w:t xml:space="preserve"> 2.2 </w:t>
            </w:r>
            <w:r>
              <w:rPr>
                <w:rFonts w:hint="eastAsia"/>
              </w:rPr>
              <w:t xml:space="preserve">节）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认为含糖饮料加税是</w:t>
            </w:r>
            <w:r>
              <w:t xml:space="preserve"> 2027 </w:t>
            </w:r>
            <w:r>
              <w:rPr>
                <w:rFonts w:hint="eastAsia"/>
              </w:rPr>
              <w:t xml:space="preserve">年的事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配方与价格盘的决策提前量以年计（第</w:t>
            </w:r>
            <w:r>
              <w:t xml:space="preserve"> 2.1 </w:t>
            </w:r>
            <w:r>
              <w:rPr>
                <w:rFonts w:hint="eastAsia"/>
              </w:rPr>
              <w:t xml:space="preserve">节）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认为”未披露的赞助”是</w:t>
            </w:r>
            <w:r>
              <w:t xml:space="preserve"> 2026 </w:t>
            </w:r>
            <w:r>
              <w:rPr>
                <w:rFonts w:hint="eastAsia"/>
              </w:rPr>
              <w:t xml:space="preserve">年新规</w:t>
            </w:r>
          </w:p>
        </w:tc>
        <w:tc>
          <w:tcPr/>
          <w:p>
            <w:pPr>
              <w:pStyle w:val="Compact"/>
            </w:pPr>
            <w:r>
              <w:t xml:space="preserve">2024-07-01 </w:t>
            </w:r>
            <w:r>
              <w:rPr>
                <w:rFonts w:hint="eastAsia"/>
              </w:rPr>
              <w:t xml:space="preserve">起已属禁止行为（第</w:t>
            </w:r>
            <w:r>
              <w:t xml:space="preserve"> 2.3 </w:t>
            </w:r>
            <w:r>
              <w:rPr>
                <w:rFonts w:hint="eastAsia"/>
              </w:rPr>
              <w:t xml:space="preserve">节）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认为数据放在境外即可规避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该法适用于处理越南公民数据的外国组织（第</w:t>
            </w:r>
            <w:r>
              <w:t xml:space="preserve"> 2.4 </w:t>
            </w:r>
            <w:r>
              <w:rPr>
                <w:rFonts w:hint="eastAsia"/>
              </w:rPr>
              <w:t xml:space="preserve">节）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7"/>
    <w:bookmarkStart w:id="18" w:name="六本文引用的法律依据"/>
    <w:p>
      <w:pPr>
        <w:pStyle w:val="Heading2"/>
      </w:pPr>
      <w:r>
        <w:rPr>
          <w:rFonts w:hint="eastAsia"/>
        </w:rPr>
        <w:t xml:space="preserve">六、本文引用的法律依据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依据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特别消费税（含糖饮料、酒、烟）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66/2025/QH15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2026-01-01（饮料税率</w:t>
            </w:r>
            <w:r>
              <w:t xml:space="preserve"> 2027 / 2028 </w:t>
            </w:r>
            <w:r>
              <w:rPr>
                <w:rFonts w:hint="eastAsia"/>
              </w:rPr>
              <w:t xml:space="preserve">分段）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酒类广告限制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44/2019/QH14</w:t>
            </w:r>
            <w:r>
              <w:t xml:space="preserve"> </w:t>
            </w:r>
            <w:r>
              <w:rPr>
                <w:rFonts w:hint="eastAsia"/>
              </w:rPr>
              <w:t xml:space="preserve">第</w:t>
            </w:r>
            <w:r>
              <w:t xml:space="preserve"> 5、12 </w:t>
            </w:r>
            <w:r>
              <w:rPr>
                <w:rFonts w:hint="eastAsia"/>
              </w:rPr>
              <w:t xml:space="preserve">条</w:t>
            </w:r>
          </w:p>
        </w:tc>
        <w:tc>
          <w:tcPr/>
          <w:p>
            <w:pPr>
              <w:pStyle w:val="Compact"/>
            </w:pPr>
            <w:r>
              <w:t xml:space="preserve">2020-01-01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消费者权益保护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19/2023/QH15</w:t>
            </w:r>
          </w:p>
        </w:tc>
        <w:tc>
          <w:tcPr/>
          <w:p>
            <w:pPr>
              <w:pStyle w:val="Compact"/>
            </w:pPr>
            <w:r>
              <w:t xml:space="preserve">2024-07-01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个人数据保护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91/2025/QH15</w:t>
            </w:r>
            <w:r>
              <w:t xml:space="preserve"> </w:t>
            </w:r>
            <w:r>
              <w:t xml:space="preserve">· Nghị định</w:t>
            </w:r>
            <w:r>
              <w:t xml:space="preserve"> </w:t>
            </w:r>
            <w:r>
              <w:rPr>
                <w:b/>
                <w:bCs/>
              </w:rPr>
              <w:t xml:space="preserve">356/2025/NĐ-CP</w:t>
            </w:r>
          </w:p>
        </w:tc>
        <w:tc>
          <w:tcPr/>
          <w:p>
            <w:pPr>
              <w:pStyle w:val="Compact"/>
            </w:pPr>
            <w:r>
              <w:t xml:space="preserve">2026-01-01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电子商务</w:t>
            </w:r>
          </w:p>
        </w:tc>
        <w:tc>
          <w:tcPr/>
          <w:p>
            <w:pPr>
              <w:pStyle w:val="Compact"/>
            </w:pPr>
            <w:r>
              <w:t xml:space="preserve">Luật</w:t>
            </w:r>
            <w:r>
              <w:t xml:space="preserve"> </w:t>
            </w:r>
            <w:r>
              <w:rPr>
                <w:b/>
                <w:bCs/>
              </w:rPr>
              <w:t xml:space="preserve">122/2025/QH15</w:t>
            </w:r>
          </w:p>
        </w:tc>
        <w:tc>
          <w:tcPr/>
          <w:p>
            <w:pPr>
              <w:pStyle w:val="Compact"/>
            </w:pPr>
            <w:r>
              <w:t xml:space="preserve">2026-07-01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地区最低工资</w:t>
            </w:r>
          </w:p>
        </w:tc>
        <w:tc>
          <w:tcPr/>
          <w:p>
            <w:pPr>
              <w:pStyle w:val="Compact"/>
            </w:pPr>
            <w:r>
              <w:t xml:space="preserve">Nghị định</w:t>
            </w:r>
            <w:r>
              <w:t xml:space="preserve"> </w:t>
            </w:r>
            <w:r>
              <w:rPr>
                <w:b/>
                <w:bCs/>
              </w:rPr>
              <w:t xml:space="preserve">293/2025/NĐ-CP</w:t>
            </w:r>
          </w:p>
        </w:tc>
        <w:tc>
          <w:tcPr/>
          <w:p>
            <w:pPr>
              <w:pStyle w:val="Compact"/>
            </w:pPr>
            <w:r>
              <w:t xml:space="preserve">2026-01-01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法规核验日</w:t>
      </w:r>
      <w:r>
        <w:rPr>
          <w:rFonts w:hint="eastAsia"/>
        </w:rPr>
        <w:t xml:space="preserve">：2026-09-18。</w:t>
      </w:r>
    </w:p>
    <w:p>
      <w:r>
        <w:pict>
          <v:rect style="width:0;height:1.5pt" o:hralign="center" o:hrstd="t" o:hr="t"/>
        </w:pict>
      </w:r>
    </w:p>
    <w:bookmarkEnd w:id="18"/>
    <w:bookmarkStart w:id="19" w:name="七使用说明与风险提示"/>
    <w:p>
      <w:pPr>
        <w:pStyle w:val="Heading2"/>
      </w:pPr>
      <w:r>
        <w:rPr>
          <w:rFonts w:hint="eastAsia"/>
        </w:rPr>
        <w:t xml:space="preserve">七、使用说明与风险提示</w:t>
      </w:r>
    </w:p>
    <w:p>
      <w:pPr>
        <w:numPr>
          <w:ilvl w:val="0"/>
          <w:numId w:val="1005"/>
        </w:numPr>
      </w:pPr>
      <w:r>
        <w:rPr>
          <w:rFonts w:hint="eastAsia"/>
          <w:b/>
          <w:bCs/>
        </w:rPr>
        <w:t xml:space="preserve">本文为一般性资料，不构成法律意见、投资建议或市场研究结论。</w:t>
      </w:r>
      <w:r>
        <w:t xml:space="preserve"> </w:t>
      </w:r>
      <w:r>
        <w:rPr>
          <w:rFonts w:hint="eastAsia"/>
        </w:rPr>
        <w:t xml:space="preserve">涉及具体产品、宣称与投放方案，请取得越南执业律师与本地市场顾问的意见。</w:t>
      </w:r>
    </w:p>
    <w:p>
      <w:pPr>
        <w:numPr>
          <w:ilvl w:val="0"/>
          <w:numId w:val="1005"/>
        </w:numPr>
      </w:pPr>
      <w:r>
        <w:rPr>
          <w:rFonts w:hint="eastAsia"/>
          <w:b/>
          <w:bCs/>
        </w:rPr>
        <w:t xml:space="preserve">本文有意不写的内容</w:t>
      </w:r>
      <w:r>
        <w:rPr>
          <w:rFonts w:hint="eastAsia"/>
        </w:rPr>
        <w:t xml:space="preserve">，因为截至核验日未核到可引用的官方出处：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城镇化率（统计报告未提供，二手来源口径冲突）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商品零售额在零售总额中的占比（二手来源给出</w:t>
      </w:r>
      <w:r>
        <w:t xml:space="preserve"> </w:t>
      </w:r>
      <w:r>
        <w:rPr>
          <w:rFonts w:hint="eastAsia"/>
        </w:rPr>
        <w:t xml:space="preserve">76.1%，但官方年度报告未单列，故不采用）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中产阶级规模与增速、收入分层的具体分位数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各消费品类的增速与市场份额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消费者调研结论（态度、偏好、支付意愿）</w:t>
      </w:r>
    </w:p>
    <w:p>
      <w:pPr>
        <w:pStyle w:val="Compact"/>
        <w:numPr>
          <w:ilvl w:val="1"/>
          <w:numId w:val="1006"/>
        </w:numPr>
      </w:pPr>
      <w:r>
        <w:rPr>
          <w:rFonts w:hint="eastAsia"/>
        </w:rPr>
        <w:t xml:space="preserve">具体品牌的案例与成败归因</w:t>
      </w:r>
    </w:p>
    <w:p>
      <w:pPr>
        <w:numPr>
          <w:ilvl w:val="0"/>
          <w:numId w:val="1000"/>
        </w:numPr>
      </w:pPr>
      <w:r>
        <w:rPr>
          <w:rFonts w:hint="eastAsia"/>
          <w:b/>
          <w:bCs/>
        </w:rPr>
        <w:t xml:space="preserve">按本频道的编辑纪律，未经核实的数字不写</w:t>
      </w:r>
      <w:r>
        <w:rPr>
          <w:rFonts w:hint="eastAsia"/>
        </w:rPr>
        <w:t xml:space="preserve">，而不是用看起来合理的数值填空。</w:t>
      </w:r>
      <w:r>
        <w:t xml:space="preserve"> </w:t>
      </w:r>
      <w:r>
        <w:rPr>
          <w:rFonts w:hint="eastAsia"/>
        </w:rPr>
        <w:t xml:space="preserve">本文第四节给的是提问方法，不是替代这些数据的答案。</w:t>
      </w:r>
    </w:p>
    <w:p>
      <w:pPr>
        <w:numPr>
          <w:ilvl w:val="0"/>
          <w:numId w:val="1005"/>
        </w:numPr>
      </w:pPr>
      <w:r>
        <w:rPr>
          <w:rFonts w:hint="eastAsia"/>
          <w:b/>
          <w:bCs/>
        </w:rPr>
        <w:t xml:space="preserve">本文的数字会过期。</w:t>
      </w:r>
      <w:r>
        <w:t xml:space="preserve"> </w:t>
      </w:r>
      <w:r>
        <w:rPr>
          <w:rFonts w:hint="eastAsia"/>
        </w:rPr>
        <w:t xml:space="preserve">第一节是</w:t>
      </w:r>
      <w:r>
        <w:t xml:space="preserve"> 2025 </w:t>
      </w:r>
      <w:r>
        <w:rPr>
          <w:rFonts w:hint="eastAsia"/>
        </w:rPr>
        <w:t xml:space="preserve">年全年数据；第二节含两条</w:t>
      </w:r>
      <w:r>
        <w:t xml:space="preserve"> 2027 </w:t>
      </w:r>
      <w:r>
        <w:rPr>
          <w:rFonts w:hint="eastAsia"/>
        </w:rPr>
        <w:t xml:space="preserve">与</w:t>
      </w:r>
      <w:r>
        <w:t xml:space="preserve"> 2028 </w:t>
      </w:r>
      <w:r>
        <w:rPr>
          <w:rFonts w:hint="eastAsia"/>
        </w:rPr>
        <w:t xml:space="preserve">才生效的税率。</w:t>
      </w:r>
      <w:r>
        <w:t xml:space="preserve"> </w:t>
      </w:r>
      <w:r>
        <w:rPr>
          <w:rFonts w:hint="eastAsia"/>
          <w:b/>
          <w:bCs/>
        </w:rPr>
        <w:t xml:space="preserve">本文档进入季度复核清单。</w:t>
      </w:r>
    </w:p>
    <w:p>
      <w:pPr>
        <w:numPr>
          <w:ilvl w:val="0"/>
          <w:numId w:val="1005"/>
        </w:numPr>
      </w:pPr>
      <w:r>
        <w:rPr>
          <w:rFonts w:hint="eastAsia"/>
          <w:b/>
          <w:bCs/>
        </w:rPr>
        <w:t xml:space="preserve">本文不含任何特定企业的信息。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越南消费升级与品牌策略：可核验的底数与 2026 年的硬约束</dc:title>
  <dc:creator/>
  <dc:language>zh</dc:language>
  <cp:keywords/>
  <dcterms:created xsi:type="dcterms:W3CDTF">2026-10-31T05:14:33Z</dcterms:created>
  <dcterms:modified xsi:type="dcterms:W3CDTF">2026-10-31T05:14:33Z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