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Vietnam Goods Sale and Purchase Contract Template (2026 Edition)</w:t>
      </w:r>
    </w:p>
    <w:bookmarkStart w:id="25" w:name="goods-sale-and-purchase-contract"/>
    <w:p>
      <w:pPr>
        <w:pStyle w:val="Heading1"/>
      </w:pPr>
      <w:r>
        <w:t xml:space="preserve">GOODS SALE AND PURCHASE CONTRACT</w:t>
      </w:r>
    </w:p>
    <w:p>
      <w:pPr>
        <w:pStyle w:val="FirstParagraph"/>
      </w:pPr>
      <w:r>
        <w:rPr>
          <w:b/>
          <w:bCs/>
        </w:rPr>
        <w:t xml:space="preserve">HỢP ĐỒNG MUA BÁN HÀNG HÓA</w:t>
      </w:r>
    </w:p>
    <w:p>
      <w:pPr>
        <w:pStyle w:val="BodyText"/>
      </w:pPr>
      <w:r>
        <w:t xml:space="preserve">SOCIALIST REPUBLIC OF VIETNAM</w:t>
      </w:r>
    </w:p>
    <w:p>
      <w:pPr>
        <w:pStyle w:val="BodyText"/>
      </w:pPr>
      <w:r>
        <w:rPr>
          <w:b/>
          <w:bCs/>
        </w:rPr>
        <w:t xml:space="preserve">Independence – Freedom – Happiness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t xml:space="preserve">No.: </w:t>
      </w:r>
      <w:r>
        <w:rPr>
          <w:rFonts w:hint="eastAsia"/>
        </w:rPr>
        <w:t xml:space="preserve">＿＿＿＿/20＿＿/HĐMB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Commercial Law No. 36/2005/QH11</w:t>
      </w:r>
      <w:r>
        <w:t xml:space="preserve"> </w:t>
      </w:r>
      <w:r>
        <w:t xml:space="preserve">dated 14 June 2005;</w:t>
      </w:r>
    </w:p>
    <w:p>
      <w:pPr>
        <w:pStyle w:val="BodyText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Civil Code No. 91/2015/QH13</w:t>
      </w:r>
      <w:r>
        <w:t xml:space="preserve"> </w:t>
      </w:r>
      <w:r>
        <w:t xml:space="preserve">dated 24 November 2015;</w:t>
      </w:r>
    </w:p>
    <w:p>
      <w:pPr>
        <w:pStyle w:val="BodyText"/>
      </w:pPr>
      <w:r>
        <w:t xml:space="preserve">Pursuant to the needs and capabilities of the Parties;</w:t>
      </w:r>
    </w:p>
    <w:p>
      <w:pPr>
        <w:pStyle w:val="BodyText"/>
      </w:pPr>
      <w:r>
        <w:t xml:space="preserve">Today,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＿＿＿＿,</w:t>
      </w:r>
      <w:r>
        <w:t xml:space="preserve"> at </w:t>
      </w:r>
      <w:r>
        <w:rPr>
          <w:rFonts w:hint="eastAsia"/>
        </w:rPr>
        <w:t xml:space="preserve">＿＿＿＿＿＿＿＿＿＿＿＿,</w:t>
      </w:r>
      <w:r>
        <w:t xml:space="preserve"> we, the undersigned:</w:t>
      </w:r>
    </w:p>
    <w:p>
      <w:pPr>
        <w:pStyle w:val="BlockText"/>
      </w:pPr>
      <w:r>
        <w:rPr>
          <w:b/>
          <w:bCs/>
        </w:rPr>
        <w:t xml:space="preserve">The legal basis has been corrected</w:t>
      </w:r>
      <w:r>
        <w:t xml:space="preserve">: the original template cited</w:t>
      </w:r>
      <w:r>
        <w:t xml:space="preserve"> </w:t>
      </w:r>
      <w:r>
        <w:t xml:space="preserve">“the</w:t>
      </w:r>
      <w:r>
        <w:t xml:space="preserve"> </w:t>
      </w:r>
      <w:r>
        <w:rPr>
          <w:b/>
          <w:bCs/>
        </w:rPr>
        <w:t xml:space="preserve">Civil Code</w:t>
      </w:r>
      <w:r>
        <w:t xml:space="preserve"> </w:t>
      </w:r>
      <w:r>
        <w:t xml:space="preserve">passed by the National Assembly on</w:t>
      </w:r>
      <w:r>
        <w:t xml:space="preserve"> </w:t>
      </w:r>
      <w:r>
        <w:rPr>
          <w:b/>
          <w:bCs/>
        </w:rPr>
        <w:t xml:space="preserve">14 June 2005</w:t>
      </w:r>
      <w:r>
        <w:t xml:space="preserve">”</w:t>
      </w:r>
      <w:r>
        <w:t xml:space="preserve">. The Civil Code passed on that date</w:t>
      </w:r>
      <w:r>
        <w:t xml:space="preserve"> </w:t>
      </w:r>
      <w:r>
        <w:t xml:space="preserve">was No. 33/2005/QH11, and it</w:t>
      </w:r>
      <w:r>
        <w:t xml:space="preserve"> </w:t>
      </w:r>
      <w:r>
        <w:rPr>
          <w:b/>
          <w:bCs/>
        </w:rPr>
        <w:t xml:space="preserve">has been replaced by the Civil Code 2015</w:t>
      </w:r>
      <w:r>
        <w:rPr>
          <w:b/>
          <w:bCs/>
        </w:rPr>
        <w:t xml:space="preserve"> </w:t>
      </w:r>
      <w:r>
        <w:rPr>
          <w:b/>
          <w:bCs/>
        </w:rPr>
        <w:t xml:space="preserve">(No. 91/2015/QH13)</w:t>
      </w:r>
      <w:r>
        <w:t xml:space="preserve"> </w:t>
      </w:r>
      <w:r>
        <w:t xml:space="preserve">— it is no longer in force. Moreover, sales of goods between traders</w:t>
      </w:r>
      <w:r>
        <w:t xml:space="preserve"> </w:t>
      </w:r>
      <w:r>
        <w:t xml:space="preserve">are governed first by the</w:t>
      </w:r>
      <w:r>
        <w:t xml:space="preserve"> </w:t>
      </w:r>
      <w:r>
        <w:rPr>
          <w:b/>
          <w:bCs/>
        </w:rPr>
        <w:t xml:space="preserve">Commercial Law (No. 36/2005/QH11)</w:t>
      </w:r>
      <w:r>
        <w:t xml:space="preserve">, passed the same day.</w:t>
      </w:r>
      <w:r>
        <w:t xml:space="preserve"> </w:t>
      </w:r>
      <w:r>
        <w:t xml:space="preserve">This template cites both instruments currently in force.</w:t>
      </w:r>
    </w:p>
    <w:bookmarkStart w:id="11" w:name="part-i-particulars-of-the-parties"/>
    <w:p>
      <w:pPr>
        <w:pStyle w:val="Heading2"/>
      </w:pPr>
      <w:r>
        <w:t xml:space="preserve">PART I: PARTICULARS OF THE PARTIES</w:t>
      </w:r>
    </w:p>
    <w:bookmarkStart w:id="9" w:name="party-a-the-buyer"/>
    <w:p>
      <w:pPr>
        <w:pStyle w:val="Heading3"/>
      </w:pPr>
      <w:r>
        <w:t xml:space="preserve">PARTY A – THE BUYER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 of entity / individual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code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Representative / Position</w:t>
            </w:r>
          </w:p>
        </w:tc>
        <w:tc>
          <w:tcPr/>
          <w:p>
            <w:pPr>
              <w:pStyle w:val="Compact"/>
            </w:pPr>
            <w:r>
              <w:t xml:space="preserve">Mr./Ms. 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account (bank / number)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bookmarkEnd w:id="9"/>
    <w:bookmarkStart w:id="10" w:name="party-b-the-seller"/>
    <w:p>
      <w:pPr>
        <w:pStyle w:val="Heading3"/>
      </w:pPr>
      <w:r>
        <w:t xml:space="preserve">PARTY B – THE SELLER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 of entity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code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Representative / Position</w:t>
            </w:r>
          </w:p>
        </w:tc>
        <w:tc>
          <w:tcPr/>
          <w:p>
            <w:pPr>
              <w:pStyle w:val="Compact"/>
            </w:pPr>
            <w:r>
              <w:t xml:space="preserve">Mr./Ms. 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account (bank / number)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The Parties agree as follows: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part-ii-terms-and-conditions"/>
    <w:p>
      <w:pPr>
        <w:pStyle w:val="Heading2"/>
      </w:pPr>
      <w:r>
        <w:t xml:space="preserve">PART II: TERMS AND CONDITIONS</w:t>
      </w:r>
    </w:p>
    <w:bookmarkStart w:id="12" w:name="article-1.-goods-and-price"/>
    <w:p>
      <w:pPr>
        <w:pStyle w:val="Heading3"/>
      </w:pPr>
      <w:r>
        <w:t xml:space="preserve">Article 1. Goods and Price</w:t>
      </w:r>
    </w:p>
    <w:p>
      <w:pPr>
        <w:pStyle w:val="FirstParagraph"/>
      </w:pPr>
      <w:r>
        <w:rPr>
          <w:b/>
          <w:bCs/>
        </w:rPr>
        <w:t xml:space="preserve">Currency: Vietnamese dong (VND)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No.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Specification / Model</w:t>
            </w:r>
          </w:p>
        </w:tc>
        <w:tc>
          <w:tcPr/>
          <w:p>
            <w:pPr>
              <w:pStyle w:val="Compact"/>
            </w:pPr>
            <w:r>
              <w:t xml:space="preserve">Unit</w:t>
            </w:r>
          </w:p>
        </w:tc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Unit price</w:t>
            </w:r>
          </w:p>
        </w:tc>
        <w:tc>
          <w:tcPr/>
          <w:p>
            <w:pPr>
              <w:pStyle w:val="Compac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value of goods (VAT exclusive)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VAT </w:t>
            </w:r>
            <w:r>
              <w:rPr>
                <w:rFonts w:hint="eastAsia"/>
                <w:b/>
                <w:bCs/>
              </w:rPr>
              <w:t xml:space="preserve">(＿＿＿</w:t>
            </w:r>
            <w:r>
              <w:rPr>
                <w:b/>
                <w:bCs/>
              </w:rPr>
              <w:t xml:space="preserve"> %)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payable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In words: </w:t>
      </w:r>
      <w:r>
        <w:rPr>
          <w:rFonts w:hint="eastAsia"/>
        </w:rPr>
        <w:t xml:space="preserve">＿＿＿＿＿＿＿＿＿＿＿＿＿＿＿＿</w:t>
      </w:r>
    </w:p>
    <w:p>
      <w:pPr>
        <w:pStyle w:val="BlockText"/>
      </w:pPr>
      <w:r>
        <w:rPr>
          <w:b/>
          <w:bCs/>
        </w:rPr>
        <w:t xml:space="preserve">The currency unit has been made consistent</w:t>
      </w:r>
      <w:r>
        <w:t xml:space="preserve">: the original template headed the table</w:t>
      </w:r>
      <w:r>
        <w:t xml:space="preserve"> </w:t>
      </w:r>
      <w:r>
        <w:t xml:space="preserve">“Unit: VND 1,000”</w:t>
      </w:r>
      <w:r>
        <w:t xml:space="preserve"> </w:t>
      </w:r>
      <w:r>
        <w:t xml:space="preserve">while the column was labelled</w:t>
      </w:r>
      <w:r>
        <w:t xml:space="preserve"> </w:t>
      </w:r>
      <w:r>
        <w:t xml:space="preserve">“Unit price (VND)”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the two differ by a</w:t>
      </w:r>
      <w:r>
        <w:rPr>
          <w:b/>
          <w:bCs/>
        </w:rPr>
        <w:t xml:space="preserve"> </w:t>
      </w:r>
      <w:r>
        <w:rPr>
          <w:b/>
          <w:bCs/>
        </w:rPr>
        <w:t xml:space="preserve">factor of one thousand, and this is the kind of formatting error most likely to produce a</w:t>
      </w:r>
      <w:r>
        <w:rPr>
          <w:b/>
          <w:bCs/>
        </w:rPr>
        <w:t xml:space="preserve"> </w:t>
      </w:r>
      <w:r>
        <w:rPr>
          <w:b/>
          <w:bCs/>
        </w:rPr>
        <w:t xml:space="preserve">large dispute</w:t>
      </w:r>
      <w:r>
        <w:t xml:space="preserve">. This template uses Vietnamese dong throughout, with no conversion.</w:t>
      </w:r>
    </w:p>
    <w:p>
      <w:pPr>
        <w:pStyle w:val="BlockText"/>
      </w:pPr>
      <w:r>
        <w:rPr>
          <w:b/>
          <w:bCs/>
        </w:rPr>
        <w:t xml:space="preserve">2026 VAT rates</w:t>
      </w:r>
      <w:r>
        <w:t xml:space="preserve">: the standard rate is</w:t>
      </w:r>
      <w:r>
        <w:t xml:space="preserve"> </w:t>
      </w:r>
      <w:r>
        <w:rPr>
          <w:b/>
          <w:bCs/>
        </w:rPr>
        <w:t xml:space="preserve">10%</w:t>
      </w:r>
      <w:r>
        <w:t xml:space="preserve"> </w:t>
      </w:r>
      <w:r>
        <w:t xml:space="preserve">(Law on Value Added Tax No. 48/2024/QH15).</w:t>
      </w:r>
      <w:r>
        <w:t xml:space="preserve"> </w:t>
      </w:r>
      <w:r>
        <w:t xml:space="preserve">Under</w:t>
      </w:r>
      <w:r>
        <w:t xml:space="preserve"> </w:t>
      </w:r>
      <w:r>
        <w:rPr>
          <w:b/>
          <w:bCs/>
        </w:rPr>
        <w:t xml:space="preserve">Resolution No. 204/2025/QH15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Decree No. 174/2025/NĐ-CP</w:t>
      </w:r>
      <w:r>
        <w:t xml:space="preserve">, certain goods and</w:t>
      </w:r>
      <w:r>
        <w:t xml:space="preserve"> </w:t>
      </w:r>
      <w:r>
        <w:t xml:space="preserve">services are</w:t>
      </w:r>
      <w:r>
        <w:t xml:space="preserve"> </w:t>
      </w:r>
      <w:r>
        <w:rPr>
          <w:b/>
          <w:bCs/>
        </w:rPr>
        <w:t xml:space="preserve">reduced to 8% for the period 01 July 2025 to 31 December 2026</w:t>
      </w:r>
      <w:r>
        <w:t xml:space="preserve">.</w:t>
      </w:r>
      <w:r>
        <w:t xml:space="preserve"> </w:t>
      </w:r>
      <w:r>
        <w:rPr>
          <w:b/>
          <w:bCs/>
        </w:rPr>
        <w:t xml:space="preserve">Excluded from the reduction</w:t>
      </w:r>
      <w:r>
        <w:t xml:space="preserve">: telecommunications, finance, banking, securities,</w:t>
      </w:r>
      <w:r>
        <w:t xml:space="preserve"> </w:t>
      </w:r>
      <w:r>
        <w:t xml:space="preserve">insurance, real estate business, metal products, mining products (except coal), and goods</w:t>
      </w:r>
      <w:r>
        <w:t xml:space="preserve"> </w:t>
      </w:r>
      <w:r>
        <w:t xml:space="preserve">subject to special consumption tax (except fuel). Determine whether the consignment</w:t>
      </w:r>
      <w:r>
        <w:t xml:space="preserve"> </w:t>
      </w:r>
      <w:r>
        <w:t xml:space="preserve">qualifies before completing this clause, and</w:t>
      </w:r>
      <w:r>
        <w:t xml:space="preserve"> </w:t>
      </w:r>
      <w:r>
        <w:rPr>
          <w:b/>
          <w:bCs/>
        </w:rPr>
        <w:t xml:space="preserve">note that the 8% rate expires on</w:t>
      </w:r>
      <w:r>
        <w:rPr>
          <w:b/>
          <w:bCs/>
        </w:rPr>
        <w:t xml:space="preserve"> </w:t>
      </w:r>
      <w:r>
        <w:rPr>
          <w:b/>
          <w:bCs/>
        </w:rPr>
        <w:t xml:space="preserve">31 December 2026</w:t>
      </w:r>
      <w:r>
        <w:t xml:space="preserve">.</w:t>
      </w:r>
    </w:p>
    <w:bookmarkEnd w:id="12"/>
    <w:bookmarkStart w:id="13" w:name="Xc5e1725e0e885aec34c5f4f335fe861942369ef"/>
    <w:p>
      <w:pPr>
        <w:pStyle w:val="Heading3"/>
      </w:pPr>
      <w:r>
        <w:t xml:space="preserve">Article 2. Quality and Technical Standards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The goods shall meet the following quality requirements and technical</w:t>
      </w:r>
      <w:r>
        <w:t xml:space="preserve"> </w:t>
      </w:r>
      <w:r>
        <w:t xml:space="preserve">specifications: </w:t>
      </w:r>
      <w:r>
        <w:rPr>
          <w:rFonts w:hint="eastAsia"/>
        </w:rPr>
        <w:t xml:space="preserve">＿＿＿＿＿＿＿＿＿＿＿＿</w:t>
      </w:r>
      <w:r>
        <w:t xml:space="preserve"> (a specification sheet may be attached as an appendix).</w:t>
      </w:r>
    </w:p>
    <w:p>
      <w:pPr>
        <w:pStyle w:val="BodyText"/>
      </w:pPr>
      <w:r>
        <w:rPr>
          <w:b/>
          <w:bCs/>
        </w:rPr>
        <w:t xml:space="preserve">2.2. Documents accompanying the goods</w:t>
      </w:r>
      <w:r>
        <w:t xml:space="preserve">: Party B shall provide ☐ factory test report</w:t>
      </w:r>
      <w:r>
        <w:t xml:space="preserve"> </w:t>
      </w:r>
      <w:r>
        <w:t xml:space="preserve">☐ certificate of origin　☐ certificate of quality　☐ storage and use instructions</w:t>
      </w:r>
      <w:r>
        <w:t xml:space="preserve"> </w:t>
      </w:r>
      <w:r>
        <w:t xml:space="preserve">☐ other: </w:t>
      </w:r>
      <w:r>
        <w:rPr>
          <w:rFonts w:hint="eastAsia"/>
        </w:rPr>
        <w:t xml:space="preserve">＿＿＿.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For goods that the law requires to be certified or inspected by a competent State</w:t>
      </w:r>
      <w:r>
        <w:t xml:space="preserve"> </w:t>
      </w:r>
      <w:r>
        <w:t xml:space="preserve">authority, Party B shall provide the corresponding documents.</w:t>
      </w:r>
    </w:p>
    <w:p>
      <w:pPr>
        <w:pStyle w:val="BlockText"/>
      </w:pPr>
      <w:r>
        <w:t xml:space="preserve">The original template required, in general terms, that the goods</w:t>
      </w:r>
      <w:r>
        <w:t xml:space="preserve"> </w:t>
      </w:r>
      <w:r>
        <w:t xml:space="preserve">“be accompanied by a</w:t>
      </w:r>
      <w:r>
        <w:t xml:space="preserve"> </w:t>
      </w:r>
      <w:r>
        <w:t xml:space="preserve">certificate of conformity issued by a competent State authority”</w:t>
      </w:r>
      <w:r>
        <w:t xml:space="preserve">.</w:t>
      </w:r>
      <w:r>
        <w:t xml:space="preserve"> </w:t>
      </w:r>
      <w:r>
        <w:rPr>
          <w:b/>
          <w:bCs/>
        </w:rPr>
        <w:t xml:space="preserve">Most ordinary goods</w:t>
      </w:r>
      <w:r>
        <w:rPr>
          <w:b/>
          <w:bCs/>
        </w:rPr>
        <w:t xml:space="preserve"> </w:t>
      </w:r>
      <w:r>
        <w:rPr>
          <w:b/>
          <w:bCs/>
        </w:rPr>
        <w:t xml:space="preserve">require no State certification</w:t>
      </w:r>
      <w:r>
        <w:t xml:space="preserve">; such a term is both impossible to perform and available</w:t>
      </w:r>
      <w:r>
        <w:t xml:space="preserve"> </w:t>
      </w:r>
      <w:r>
        <w:t xml:space="preserve">to the other side in a dispute. This template provides for it according to the nature of</w:t>
      </w:r>
      <w:r>
        <w:t xml:space="preserve"> </w:t>
      </w:r>
      <w:r>
        <w:t xml:space="preserve">the goods, making it mandatory only where the law actually requires it.</w:t>
      </w:r>
    </w:p>
    <w:p>
      <w:pPr>
        <w:pStyle w:val="FirstParagraph"/>
      </w:pPr>
      <w:r>
        <w:rPr>
          <w:b/>
          <w:bCs/>
        </w:rPr>
        <w:t xml:space="preserve">2.4. Warranty</w:t>
      </w:r>
      <w:r>
        <w:t xml:space="preserve">: ☐ None　☐ </w:t>
      </w:r>
      <w:r>
        <w:rPr>
          <w:rFonts w:hint="eastAsia"/>
        </w:rPr>
        <w:t xml:space="preserve">＿＿＿</w:t>
      </w:r>
      <w:r>
        <w:t xml:space="preserve"> months from </w:t>
      </w:r>
      <w:r>
        <w:rPr>
          <w:rFonts w:hint="eastAsia"/>
        </w:rPr>
        <w:t xml:space="preserve">＿＿＿＿＿＿;</w:t>
      </w:r>
      <w:r>
        <w:t xml:space="preserve"> </w:t>
      </w:r>
      <w:r>
        <w:t xml:space="preserve">scope and exclusions: </w:t>
      </w:r>
      <w:r>
        <w:rPr>
          <w:rFonts w:hint="eastAsia"/>
        </w:rPr>
        <w:t xml:space="preserve">＿＿＿＿＿＿＿＿＿＿＿＿.</w:t>
      </w:r>
    </w:p>
    <w:bookmarkEnd w:id="13"/>
    <w:bookmarkStart w:id="14" w:name="Xcde9eaba21caf8f25210bc7dfc1e9197725f0ab"/>
    <w:p>
      <w:pPr>
        <w:pStyle w:val="Heading3"/>
      </w:pPr>
      <w:r>
        <w:t xml:space="preserve">Article 3. Delivery, Carriage and Passing of Risk</w:t>
      </w:r>
    </w:p>
    <w:p>
      <w:pPr>
        <w:pStyle w:val="FirstParagraph"/>
      </w:pPr>
      <w:r>
        <w:rPr>
          <w:b/>
          <w:bCs/>
        </w:rPr>
        <w:t xml:space="preserve">3.1. Method of delivery</w:t>
      </w:r>
      <w:r>
        <w:t xml:space="preserve"> </w:t>
      </w:r>
      <w:r>
        <w:t xml:space="preserve">(</w:t>
      </w:r>
      <w:r>
        <w:rPr>
          <w:b/>
          <w:bCs/>
        </w:rPr>
        <w:t xml:space="preserve">one must be selected</w:t>
      </w:r>
      <w:r>
        <w:t xml:space="preserve"> </w:t>
      </w:r>
      <w:r>
        <w:t xml:space="preserve">— it determines when risk passes):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Delivery at a specified place</w:t>
      </w:r>
      <w:r>
        <w:t xml:space="preserve">: Party B carries the goods to</w:t>
      </w:r>
      <w:r>
        <w:t xml:space="preserve"> </w:t>
      </w:r>
      <w:r>
        <w:rPr>
          <w:rFonts w:hint="eastAsia"/>
        </w:rPr>
        <w:t xml:space="preserve">＿＿＿＿＿＿＿＿＿＿＿＿</w:t>
      </w:r>
      <w:r>
        <w:t xml:space="preserve"> and delivers them to Party A there.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specified place of delivery; goods are carried</w:t>
      </w:r>
      <w:r>
        <w:t xml:space="preserve">: Party B hands the goods to the</w:t>
      </w:r>
      <w:r>
        <w:t xml:space="preserve"> </w:t>
      </w:r>
      <w:r>
        <w:t xml:space="preserve">first carrier.</w:t>
      </w:r>
    </w:p>
    <w:p>
      <w:pPr>
        <w:pStyle w:val="FirstParagraph"/>
      </w:pPr>
      <w:r>
        <w:rPr>
          <w:b/>
          <w:bCs/>
        </w:rPr>
        <w:t xml:space="preserve">3.2. Time of delivery</w:t>
      </w:r>
      <w:r>
        <w:t xml:space="preserve">: within </w:t>
      </w:r>
      <w:r>
        <w:rPr>
          <w:rFonts w:hint="eastAsia"/>
        </w:rPr>
        <w:t xml:space="preserve">＿＿＿</w:t>
      </w:r>
      <w:r>
        <w:t xml:space="preserve"> days of signing (or per the delivery schedule</w:t>
      </w:r>
      <w:r>
        <w:t xml:space="preserve"> </w:t>
      </w:r>
      <w:r>
        <w:t xml:space="preserve">in the appendix).</w:t>
      </w:r>
    </w:p>
    <w:p>
      <w:pPr>
        <w:pStyle w:val="BodyText"/>
      </w:pPr>
      <w:r>
        <w:rPr>
          <w:b/>
          <w:bCs/>
        </w:rPr>
        <w:t xml:space="preserve">3.3. Passing of risk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Under the</w:t>
      </w:r>
      <w:r>
        <w:t xml:space="preserve"> </w:t>
      </w:r>
      <w:r>
        <w:rPr>
          <w:b/>
          <w:bCs/>
        </w:rPr>
        <w:t xml:space="preserve">specified place</w:t>
      </w:r>
      <w:r>
        <w:t xml:space="preserve"> </w:t>
      </w:r>
      <w:r>
        <w:t xml:space="preserve">method in Clause 3.1, the risk of loss of or damage to the</w:t>
      </w:r>
      <w:r>
        <w:t xml:space="preserve"> </w:t>
      </w:r>
      <w:r>
        <w:t xml:space="preserve">goods passes to Party A when the goods are delivered to Party A or its authorised person</w:t>
      </w:r>
      <w:r>
        <w:t xml:space="preserve"> </w:t>
      </w:r>
      <w:r>
        <w:t xml:space="preserve">at that place;</w:t>
      </w:r>
      <w:r>
        <w:t xml:space="preserve"> </w:t>
      </w:r>
      <w:r>
        <w:rPr>
          <w:b/>
          <w:bCs/>
        </w:rPr>
        <w:t xml:space="preserve">this applies even where Party B is authorised to retain the documents of</w:t>
      </w:r>
      <w:r>
        <w:rPr>
          <w:b/>
          <w:bCs/>
        </w:rPr>
        <w:t xml:space="preserve"> </w:t>
      </w:r>
      <w:r>
        <w:rPr>
          <w:b/>
          <w:bCs/>
        </w:rPr>
        <w:t xml:space="preserve">title to the goods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Under the</w:t>
      </w:r>
      <w:r>
        <w:t xml:space="preserve"> </w:t>
      </w:r>
      <w:r>
        <w:rPr>
          <w:b/>
          <w:bCs/>
        </w:rPr>
        <w:t xml:space="preserve">carriage</w:t>
      </w:r>
      <w:r>
        <w:t xml:space="preserve"> </w:t>
      </w:r>
      <w:r>
        <w:t xml:space="preserve">method in Clause 3.1, risk passes to Party A when the goods are</w:t>
      </w:r>
      <w:r>
        <w:t xml:space="preserve"> </w:t>
      </w:r>
      <w:r>
        <w:t xml:space="preserve">handed to the</w:t>
      </w:r>
      <w:r>
        <w:t xml:space="preserve"> </w:t>
      </w:r>
      <w:r>
        <w:rPr>
          <w:b/>
          <w:bCs/>
        </w:rPr>
        <w:t xml:space="preserve">first carrier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Basis: Articles 57 and 58 of the Commercial Law 2005.</w:t>
      </w:r>
      <w:r>
        <w:t xml:space="preserve"> </w:t>
      </w:r>
      <w:r>
        <w:t xml:space="preserve">The original template</w:t>
      </w:r>
      <w:r>
        <w:t xml:space="preserve"> </w:t>
      </w:r>
      <w:r>
        <w:t xml:space="preserve">contradicted itself here: Article 5 said</w:t>
      </w:r>
      <w:r>
        <w:t xml:space="preserve"> </w:t>
      </w:r>
      <w:r>
        <w:t xml:space="preserve">“the seller is obliged to deliver the goods to</w:t>
      </w:r>
      <w:r>
        <w:t xml:space="preserve"> </w:t>
      </w:r>
      <w:r>
        <w:t xml:space="preserve">the place designated by the buyer”</w:t>
      </w:r>
      <w:r>
        <w:t xml:space="preserve">, while Article 6 said</w:t>
      </w:r>
      <w:r>
        <w:t xml:space="preserve"> </w:t>
      </w:r>
      <w:r>
        <w:t xml:space="preserve">“the buyer is obliged to pay all</w:t>
      </w:r>
      <w:r>
        <w:t xml:space="preserve"> </w:t>
      </w:r>
      <w:r>
        <w:t xml:space="preserve">carriage costs from its warehouse/factory to </w:t>
      </w:r>
      <w:r>
        <w:rPr>
          <w:rFonts w:hint="eastAsia"/>
        </w:rPr>
        <w:t xml:space="preserve">＿＿”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who carries, who pays and when risk</w:t>
      </w:r>
      <w:r>
        <w:rPr>
          <w:b/>
          <w:bCs/>
        </w:rPr>
        <w:t xml:space="preserve"> </w:t>
      </w:r>
      <w:r>
        <w:rPr>
          <w:b/>
          <w:bCs/>
        </w:rPr>
        <w:t xml:space="preserve">passes were all at odds</w:t>
      </w:r>
      <w:r>
        <w:t xml:space="preserve">. This template fixes the delivery method first and derives</w:t>
      </w:r>
      <w:r>
        <w:t xml:space="preserve"> </w:t>
      </w:r>
      <w:r>
        <w:t xml:space="preserve">carriage costs and risk from it, so that all three agree.</w:t>
      </w:r>
    </w:p>
    <w:p>
      <w:pPr>
        <w:pStyle w:val="FirstParagraph"/>
      </w:pPr>
      <w:r>
        <w:rPr>
          <w:b/>
          <w:bCs/>
        </w:rPr>
        <w:t xml:space="preserve">3.4. Carriage costs</w:t>
      </w:r>
      <w:r>
        <w:t xml:space="preserve">: borne by ☐ Party A　☐ Party B; specifics: </w:t>
      </w:r>
      <w:r>
        <w:rPr>
          <w:rFonts w:hint="eastAsia"/>
        </w:rPr>
        <w:t xml:space="preserve">＿＿＿＿＿＿＿＿.</w:t>
      </w:r>
    </w:p>
    <w:p>
      <w:pPr>
        <w:pStyle w:val="BodyText"/>
      </w:pPr>
      <w:r>
        <w:rPr>
          <w:b/>
          <w:bCs/>
        </w:rPr>
        <w:t xml:space="preserve">3.5. Loading and unloading</w:t>
      </w:r>
      <w:r>
        <w:t xml:space="preserve">: unloading costs borne by ☐ Party A　☐ Party B.</w:t>
      </w:r>
    </w:p>
    <w:p>
      <w:pPr>
        <w:pStyle w:val="BodyText"/>
      </w:pPr>
      <w:r>
        <w:rPr>
          <w:b/>
          <w:bCs/>
        </w:rPr>
        <w:t xml:space="preserve">3.6. Passing of title</w:t>
      </w:r>
      <w:r>
        <w:t xml:space="preserve">: title to the goods passes to Party A</w:t>
      </w:r>
      <w:r>
        <w:t xml:space="preserve"> </w:t>
      </w:r>
      <w:r>
        <w:t xml:space="preserve">☐ on delivery　☐ on payment in full by Party A.</w:t>
      </w:r>
    </w:p>
    <w:p>
      <w:pPr>
        <w:pStyle w:val="BlockText"/>
      </w:pPr>
      <w:r>
        <w:t xml:space="preserve">Agreeing that title passes only on payment in full (retention of title) protects the</w:t>
      </w:r>
      <w:r>
        <w:t xml:space="preserve"> </w:t>
      </w:r>
      <w:r>
        <w:t xml:space="preserve">seller where the buyer pays late. The original template did not address when title passes.</w:t>
      </w:r>
    </w:p>
    <w:bookmarkEnd w:id="14"/>
    <w:bookmarkStart w:id="15" w:name="Xefd34fa030f2769a67389e364965363be560f09"/>
    <w:p>
      <w:pPr>
        <w:pStyle w:val="Heading3"/>
      </w:pPr>
      <w:r>
        <w:t xml:space="preserve">Article 4. Acceptance and Time Limits for Complaint</w:t>
      </w:r>
    </w:p>
    <w:p>
      <w:pPr>
        <w:pStyle w:val="FirstParagraph"/>
      </w:pPr>
      <w:r>
        <w:rPr>
          <w:b/>
          <w:bCs/>
        </w:rPr>
        <w:t xml:space="preserve">4.1. Acceptance</w:t>
      </w:r>
      <w:r>
        <w:t xml:space="preserve">: Party A shall complete acceptance as to quantity and outward condition</w:t>
      </w:r>
      <w:r>
        <w:t xml:space="preserve"> </w:t>
      </w:r>
      <w:r>
        <w:t xml:space="preserve">within </w:t>
      </w:r>
      <w:r>
        <w:rPr>
          <w:rFonts w:hint="eastAsia"/>
        </w:rPr>
        <w:t xml:space="preserve">＿＿＿</w:t>
      </w:r>
      <w:r>
        <w:t xml:space="preserve"> days of receipt, and shall confirm or object in writing.</w:t>
      </w:r>
    </w:p>
    <w:p>
      <w:pPr>
        <w:pStyle w:val="BodyText"/>
      </w:pPr>
      <w:r>
        <w:rPr>
          <w:b/>
          <w:bCs/>
        </w:rPr>
        <w:t xml:space="preserve">4.2. Time limits for complaint</w:t>
      </w:r>
      <w:r>
        <w:t xml:space="preserve"> </w:t>
      </w:r>
      <w:r>
        <w:t xml:space="preserve">(as agreed below;</w:t>
      </w:r>
      <w:r>
        <w:t xml:space="preserve"> </w:t>
      </w:r>
      <w:r>
        <w:rPr>
          <w:b/>
          <w:bCs/>
        </w:rPr>
        <w:t xml:space="preserve">the statutory limits apply where</w:t>
      </w:r>
      <w:r>
        <w:rPr>
          <w:b/>
          <w:bCs/>
        </w:rPr>
        <w:t xml:space="preserve"> </w:t>
      </w:r>
      <w:r>
        <w:rPr>
          <w:b/>
          <w:bCs/>
        </w:rPr>
        <w:t xml:space="preserve">nothing is agreed</w:t>
      </w:r>
      <w:r>
        <w:t xml:space="preserve">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Subject of complaint</w:t>
            </w:r>
          </w:p>
        </w:tc>
        <w:tc>
          <w:tcPr/>
          <w:p>
            <w:pPr>
              <w:pStyle w:val="Compact"/>
            </w:pPr>
            <w:r>
              <w:t xml:space="preserve">Agreed in this contract</w:t>
            </w:r>
          </w:p>
        </w:tc>
        <w:tc>
          <w:tcPr/>
          <w:p>
            <w:pPr>
              <w:pStyle w:val="Compact"/>
            </w:pPr>
            <w:r>
              <w:t xml:space="preserve">Statutory limit (absent agreement)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Quantity</w:t>
            </w:r>
            <w:r>
              <w:t xml:space="preserve"> </w:t>
            </w:r>
            <w:r>
              <w:t xml:space="preserve">of goods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months</w:t>
            </w:r>
            <w:r>
              <w:t xml:space="preserve"> </w:t>
            </w:r>
            <w:r>
              <w:t xml:space="preserve">from delivery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Quality</w:t>
            </w:r>
            <w:r>
              <w:t xml:space="preserve"> </w:t>
            </w:r>
            <w:r>
              <w:t xml:space="preserve">of goods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 months</w:t>
            </w:r>
            <w:r>
              <w:t xml:space="preserve"> </w:t>
            </w:r>
            <w:r>
              <w:t xml:space="preserve">from delivery; where the goods carry a warranty,</w:t>
            </w:r>
            <w:r>
              <w:t xml:space="preserve"> </w:t>
            </w:r>
            <w:r>
              <w:rPr>
                <w:b/>
                <w:bCs/>
              </w:rPr>
              <w:t xml:space="preserve">3 months from expiry of the warranty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Other breaches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 months</w:t>
            </w:r>
            <w:r>
              <w:t xml:space="preserve"> </w:t>
            </w:r>
            <w:r>
              <w:t xml:space="preserve">from the date the breaching party must complete its obligation; where there is a warranty, from its expiry</w:t>
            </w:r>
          </w:p>
        </w:tc>
      </w:tr>
    </w:tbl>
    <w:p>
      <w:pPr>
        <w:pStyle w:val="BlockText"/>
      </w:pPr>
      <w:r>
        <w:rPr>
          <w:b/>
          <w:bCs/>
        </w:rPr>
        <w:t xml:space="preserve">Basis: Article 318 of the Commercial Law 2005</w:t>
      </w:r>
      <w:r>
        <w:t xml:space="preserve"> </w:t>
      </w:r>
      <w:r>
        <w:t xml:space="preserve">(save in the case under Article 237.1(đ)).</w:t>
      </w:r>
      <w:r>
        <w:t xml:space="preserve"> </w:t>
      </w:r>
      <w:r>
        <w:t xml:space="preserve">The original template</w:t>
      </w:r>
      <w:r>
        <w:t xml:space="preserve"> </w:t>
      </w:r>
      <w:r>
        <w:rPr>
          <w:b/>
          <w:bCs/>
        </w:rPr>
        <w:t xml:space="preserve">had no time limit for complaints at all</w:t>
      </w:r>
      <w:r>
        <w:t xml:space="preserve">. A buyer raising a</w:t>
      </w:r>
      <w:r>
        <w:t xml:space="preserve"> </w:t>
      </w:r>
      <w:r>
        <w:t xml:space="preserve">quality complaint seven months after delivery would, absent agreement, already be outside</w:t>
      </w:r>
      <w:r>
        <w:t xml:space="preserve"> </w:t>
      </w:r>
      <w:r>
        <w:t xml:space="preserve">the six-month statutory limit and would lose the right.</w:t>
      </w:r>
      <w:r>
        <w:t xml:space="preserve"> </w:t>
      </w:r>
      <w:r>
        <w:rPr>
          <w:b/>
          <w:bCs/>
        </w:rPr>
        <w:t xml:space="preserve">Precisely because these limits may be varied by agreement, a template ought to address them.</w:t>
      </w:r>
    </w:p>
    <w:p>
      <w:pPr>
        <w:pStyle w:val="FirstParagraph"/>
      </w:pPr>
      <w:r>
        <w:rPr>
          <w:b/>
          <w:bCs/>
        </w:rPr>
        <w:t xml:space="preserve">4.3.</w:t>
      </w:r>
      <w:r>
        <w:t xml:space="preserve"> </w:t>
      </w:r>
      <w:r>
        <w:t xml:space="preserve">Where Party A raises no written objection within those limits, the goods are deemed</w:t>
      </w:r>
      <w:r>
        <w:t xml:space="preserve"> </w:t>
      </w:r>
      <w:r>
        <w:t xml:space="preserve">to conform to the contract.</w:t>
      </w:r>
    </w:p>
    <w:bookmarkEnd w:id="15"/>
    <w:bookmarkStart w:id="16" w:name="article-5.-payment"/>
    <w:p>
      <w:pPr>
        <w:pStyle w:val="Heading3"/>
      </w:pPr>
      <w:r>
        <w:t xml:space="preserve">Article 5. Payment</w:t>
      </w:r>
    </w:p>
    <w:p>
      <w:pPr>
        <w:pStyle w:val="FirstParagraph"/>
      </w:pPr>
      <w:r>
        <w:rPr>
          <w:b/>
          <w:bCs/>
        </w:rPr>
        <w:t xml:space="preserve">5.1. Value per consignment</w:t>
      </w:r>
      <w:r>
        <w:t xml:space="preserve">: VND </w:t>
      </w:r>
      <w:r>
        <w:rPr>
          <w:rFonts w:hint="eastAsia"/>
        </w:rPr>
        <w:t xml:space="preserve">＿＿＿＿＿＿</w:t>
      </w:r>
      <w:r>
        <w:t xml:space="preserve"> per consignment (in words: </w:t>
      </w:r>
      <w:r>
        <w:rPr>
          <w:rFonts w:hint="eastAsia"/>
        </w:rPr>
        <w:t xml:space="preserve">＿＿＿＿＿＿),</w:t>
      </w:r>
      <w:r>
        <w:t xml:space="preserve"> </w:t>
      </w:r>
      <w:r>
        <w:t xml:space="preserve">☐ inclusive of　☐ exclusive of VAT.</w:t>
      </w:r>
    </w:p>
    <w:p>
      <w:pPr>
        <w:pStyle w:val="BodyText"/>
      </w:pPr>
      <w:r>
        <w:rPr>
          <w:b/>
          <w:bCs/>
        </w:rPr>
        <w:t xml:space="preserve">5.2. Payment schedule</w:t>
      </w:r>
      <w:r>
        <w:t xml:space="preserve">: each consignment is paid in two instalments —</w:t>
      </w:r>
    </w:p>
    <w:p>
      <w:pPr>
        <w:pStyle w:val="Compact"/>
        <w:numPr>
          <w:ilvl w:val="0"/>
          <w:numId w:val="1004"/>
        </w:numPr>
      </w:pPr>
      <w:r>
        <w:t xml:space="preserve">First: </w:t>
      </w:r>
      <w:r>
        <w:rPr>
          <w:rFonts w:hint="eastAsia"/>
        </w:rPr>
        <w:t xml:space="preserve">＿＿＿</w:t>
      </w:r>
      <w:r>
        <w:t xml:space="preserve"> % of the value, within </w:t>
      </w:r>
      <w:r>
        <w:rPr>
          <w:rFonts w:hint="eastAsia"/>
        </w:rPr>
        <w:t xml:space="preserve">＿＿＿</w:t>
      </w:r>
      <w:r>
        <w:t xml:space="preserve"> days after Party B delivers;</w:t>
      </w:r>
    </w:p>
    <w:p>
      <w:pPr>
        <w:pStyle w:val="Compact"/>
        <w:numPr>
          <w:ilvl w:val="0"/>
          <w:numId w:val="1004"/>
        </w:numPr>
      </w:pPr>
      <w:r>
        <w:t xml:space="preserve">Second: the remaining </w:t>
      </w:r>
      <w:r>
        <w:rPr>
          <w:rFonts w:hint="eastAsia"/>
        </w:rPr>
        <w:t xml:space="preserve">＿＿＿</w:t>
      </w:r>
      <w:r>
        <w:t xml:space="preserve"> %, within </w:t>
      </w:r>
      <w:r>
        <w:rPr>
          <w:rFonts w:hint="eastAsia"/>
        </w:rPr>
        <w:t xml:space="preserve">＿＿＿</w:t>
      </w:r>
      <w:r>
        <w:t xml:space="preserve"> days from the date of delivery.</w:t>
      </w:r>
    </w:p>
    <w:p>
      <w:pPr>
        <w:pStyle w:val="FirstParagraph"/>
      </w:pPr>
      <w:r>
        <w:rPr>
          <w:b/>
          <w:bCs/>
        </w:rPr>
        <w:t xml:space="preserve">5.3.</w:t>
      </w:r>
      <w:r>
        <w:t xml:space="preserve"> </w:t>
      </w:r>
      <w:r>
        <w:t xml:space="preserve">The above days ☐ include　☐ exclude rest days, public holidays and Tết.</w:t>
      </w:r>
    </w:p>
    <w:p>
      <w:pPr>
        <w:pStyle w:val="BodyText"/>
      </w:pPr>
      <w:r>
        <w:rPr>
          <w:b/>
          <w:bCs/>
        </w:rPr>
        <w:t xml:space="preserve">5.4. Method</w:t>
      </w:r>
      <w:r>
        <w:t xml:space="preserve">: ☐ Cash　☐ Bank transfer (accounts as stated in Part I).</w:t>
      </w:r>
    </w:p>
    <w:p>
      <w:pPr>
        <w:pStyle w:val="BodyText"/>
      </w:pPr>
      <w:r>
        <w:rPr>
          <w:b/>
          <w:bCs/>
        </w:rPr>
        <w:t xml:space="preserve">5.5. Invoices</w:t>
      </w:r>
      <w:r>
        <w:t xml:space="preserve">: on payment in accordance with this contract, Party B shall issue lawful</w:t>
      </w:r>
      <w:r>
        <w:t xml:space="preserve"> </w:t>
      </w:r>
      <w:r>
        <w:t xml:space="preserve">electronic invoices under the applicable rules on invoices and vouchers.</w:t>
      </w:r>
    </w:p>
    <w:p>
      <w:pPr>
        <w:pStyle w:val="BlockText"/>
      </w:pPr>
      <w:r>
        <w:t xml:space="preserve">Two operational points under</w:t>
      </w:r>
      <w:r>
        <w:t xml:space="preserve"> </w:t>
      </w:r>
      <w:r>
        <w:rPr>
          <w:b/>
          <w:bCs/>
        </w:rPr>
        <w:t xml:space="preserve">Decree No. 70/2025/NĐ-CP</w:t>
      </w:r>
      <w:r>
        <w:t xml:space="preserve"> </w:t>
      </w:r>
      <w:r>
        <w:t xml:space="preserve">(effective 01 June 2025, amending</w:t>
      </w:r>
      <w:r>
        <w:t xml:space="preserve"> </w:t>
      </w:r>
      <w:r>
        <w:t xml:space="preserve">40 of the 61 articles of Decree No. 123/2020/NĐ-CP):</w:t>
      </w:r>
      <w:r>
        <w:t xml:space="preserve"> </w:t>
      </w:r>
      <w:r>
        <w:rPr>
          <w:b/>
          <w:bCs/>
        </w:rPr>
        <w:t xml:space="preserve">the time of issuance for a sale of</w:t>
      </w:r>
      <w:r>
        <w:rPr>
          <w:b/>
          <w:bCs/>
        </w:rPr>
        <w:t xml:space="preserve"> </w:t>
      </w:r>
      <w:r>
        <w:rPr>
          <w:b/>
          <w:bCs/>
        </w:rPr>
        <w:t xml:space="preserve">goods is the time ownership or the right of use passes, whether or not payment has been</w:t>
      </w:r>
      <w:r>
        <w:rPr>
          <w:b/>
          <w:bCs/>
        </w:rPr>
        <w:t xml:space="preserve"> </w:t>
      </w:r>
      <w:r>
        <w:rPr>
          <w:b/>
          <w:bCs/>
        </w:rPr>
        <w:t xml:space="preserve">received</w:t>
      </w:r>
      <w:r>
        <w:t xml:space="preserve">; and</w:t>
      </w:r>
      <w:r>
        <w:t xml:space="preserve"> </w:t>
      </w:r>
      <w:r>
        <w:rPr>
          <w:b/>
          <w:bCs/>
        </w:rPr>
        <w:t xml:space="preserve">before adjusting or replacing an incorrectly issued electronic invoice,</w:t>
      </w:r>
      <w:r>
        <w:rPr>
          <w:b/>
          <w:bCs/>
        </w:rPr>
        <w:t xml:space="preserve"> </w:t>
      </w:r>
      <w:r>
        <w:rPr>
          <w:b/>
          <w:bCs/>
        </w:rPr>
        <w:t xml:space="preserve">seller and buyer must first have a written agreement identifying the error</w:t>
      </w:r>
      <w:r>
        <w:t xml:space="preserve">.</w:t>
      </w:r>
      <w:r>
        <w:t xml:space="preserve"> </w:t>
      </w:r>
      <w:r>
        <w:t xml:space="preserve">The original template said only</w:t>
      </w:r>
      <w:r>
        <w:t xml:space="preserve"> </w:t>
      </w:r>
      <w:r>
        <w:t xml:space="preserve">“issue invoices and related vouchers”</w:t>
      </w:r>
      <w:r>
        <w:t xml:space="preserve">.</w:t>
      </w:r>
    </w:p>
    <w:bookmarkEnd w:id="16"/>
    <w:bookmarkStart w:id="17" w:name="article-6.-obligations-of-the-parties"/>
    <w:p>
      <w:pPr>
        <w:pStyle w:val="Heading3"/>
      </w:pPr>
      <w:r>
        <w:t xml:space="preserve">Article 6. Obligations of the Parties</w:t>
      </w:r>
    </w:p>
    <w:p>
      <w:pPr>
        <w:pStyle w:val="FirstParagraph"/>
      </w:pPr>
      <w:r>
        <w:rPr>
          <w:b/>
          <w:bCs/>
        </w:rPr>
        <w:t xml:space="preserve">6.1. Obligations of Party B (Seller)</w:t>
      </w:r>
    </w:p>
    <w:p>
      <w:pPr>
        <w:pStyle w:val="Compact"/>
        <w:numPr>
          <w:ilvl w:val="0"/>
          <w:numId w:val="1005"/>
        </w:numPr>
      </w:pPr>
      <w:r>
        <w:t xml:space="preserve">To be responsible for the quantity and quality of the goods until risk passes under</w:t>
      </w:r>
      <w:r>
        <w:t xml:space="preserve"> </w:t>
      </w:r>
      <w:r>
        <w:t xml:space="preserve">Clause 3.3;</w:t>
      </w:r>
    </w:p>
    <w:p>
      <w:pPr>
        <w:pStyle w:val="Compact"/>
        <w:numPr>
          <w:ilvl w:val="0"/>
          <w:numId w:val="1005"/>
        </w:numPr>
      </w:pPr>
      <w:r>
        <w:t xml:space="preserve">To deliver by the method and at the place in Clause 3.1;</w:t>
      </w:r>
    </w:p>
    <w:p>
      <w:pPr>
        <w:pStyle w:val="Compact"/>
        <w:numPr>
          <w:ilvl w:val="0"/>
          <w:numId w:val="1005"/>
        </w:numPr>
      </w:pPr>
      <w:r>
        <w:t xml:space="preserve">To provide the instructions necessary for storage and use of the goods;</w:t>
      </w:r>
    </w:p>
    <w:p>
      <w:pPr>
        <w:pStyle w:val="Compact"/>
        <w:numPr>
          <w:ilvl w:val="0"/>
          <w:numId w:val="1005"/>
        </w:numPr>
      </w:pPr>
      <w:r>
        <w:t xml:space="preserve">To issue lawful invoices and vouchers under Clause 5.5;</w:t>
      </w:r>
    </w:p>
    <w:p>
      <w:pPr>
        <w:pStyle w:val="Compact"/>
        <w:numPr>
          <w:ilvl w:val="0"/>
          <w:numId w:val="1005"/>
        </w:numPr>
      </w:pPr>
      <w:r>
        <w:t xml:space="preserve">To warrant clear title to the goods, free of third-party claims.</w:t>
      </w:r>
    </w:p>
    <w:p>
      <w:pPr>
        <w:pStyle w:val="FirstParagraph"/>
      </w:pPr>
      <w:r>
        <w:rPr>
          <w:b/>
          <w:bCs/>
        </w:rPr>
        <w:t xml:space="preserve">6.2. Obligations of Party A (Buyer)</w:t>
      </w:r>
    </w:p>
    <w:p>
      <w:pPr>
        <w:pStyle w:val="Compact"/>
        <w:numPr>
          <w:ilvl w:val="0"/>
          <w:numId w:val="1006"/>
        </w:numPr>
      </w:pPr>
      <w:r>
        <w:t xml:space="preserve">To bear the carriage and unloading costs allocated under Clauses 3.1, 3.4 and 3.5;</w:t>
      </w:r>
    </w:p>
    <w:p>
      <w:pPr>
        <w:pStyle w:val="Compact"/>
        <w:numPr>
          <w:ilvl w:val="0"/>
          <w:numId w:val="1006"/>
        </w:numPr>
      </w:pPr>
      <w:r>
        <w:t xml:space="preserve">To take delivery of each consignment promptly, safely and in full;</w:t>
      </w:r>
    </w:p>
    <w:p>
      <w:pPr>
        <w:pStyle w:val="Compact"/>
        <w:numPr>
          <w:ilvl w:val="0"/>
          <w:numId w:val="1006"/>
        </w:numPr>
      </w:pPr>
      <w:r>
        <w:t xml:space="preserve">To pay in accordance with Article 5;</w:t>
      </w:r>
    </w:p>
    <w:p>
      <w:pPr>
        <w:pStyle w:val="Compact"/>
        <w:numPr>
          <w:ilvl w:val="0"/>
          <w:numId w:val="1006"/>
        </w:numPr>
      </w:pPr>
      <w:r>
        <w:t xml:space="preserve">To complete acceptance promptly under Clause 4.1.</w:t>
      </w:r>
    </w:p>
    <w:bookmarkEnd w:id="17"/>
    <w:bookmarkStart w:id="18" w:name="article-7.-penalties-and-damages"/>
    <w:p>
      <w:pPr>
        <w:pStyle w:val="Heading3"/>
      </w:pPr>
      <w:r>
        <w:t xml:space="preserve">Article 7. Penalties and Damages</w:t>
      </w:r>
    </w:p>
    <w:p>
      <w:pPr>
        <w:pStyle w:val="FirstParagraph"/>
      </w:pPr>
      <w:r>
        <w:rPr>
          <w:b/>
          <w:bCs/>
        </w:rPr>
        <w:t xml:space="preserve">7.1. Breach by Party B</w:t>
      </w:r>
    </w:p>
    <w:p>
      <w:pPr>
        <w:pStyle w:val="Compact"/>
        <w:numPr>
          <w:ilvl w:val="0"/>
          <w:numId w:val="1007"/>
        </w:numPr>
      </w:pPr>
      <w:r>
        <w:t xml:space="preserve">Late delivery: for each day of delay, a penalty of </w:t>
      </w:r>
      <w:r>
        <w:rPr>
          <w:rFonts w:hint="eastAsia"/>
        </w:rPr>
        <w:t xml:space="preserve">＿＿＿</w:t>
      </w:r>
      <w:r>
        <w:t xml:space="preserve"> % of</w:t>
      </w:r>
      <w:r>
        <w:t xml:space="preserve"> </w:t>
      </w:r>
      <w:r>
        <w:rPr>
          <w:b/>
          <w:bCs/>
        </w:rPr>
        <w:t xml:space="preserve">the value of the goods</w:t>
      </w:r>
      <w:r>
        <w:rPr>
          <w:b/>
          <w:bCs/>
        </w:rPr>
        <w:t xml:space="preserve"> </w:t>
      </w:r>
      <w:r>
        <w:rPr>
          <w:b/>
          <w:bCs/>
        </w:rPr>
        <w:t xml:space="preserve">delivered late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Short delivery or goods not meeting quality: Party B shall make good or replace, and for</w:t>
      </w:r>
      <w:r>
        <w:t xml:space="preserve"> </w:t>
      </w:r>
      <w:r>
        <w:t xml:space="preserve">each day of delay pay </w:t>
      </w:r>
      <w:r>
        <w:rPr>
          <w:rFonts w:hint="eastAsia"/>
        </w:rPr>
        <w:t xml:space="preserve">＿＿＿</w:t>
      </w:r>
      <w:r>
        <w:t xml:space="preserve"> % of</w:t>
      </w:r>
      <w:r>
        <w:t xml:space="preserve"> </w:t>
      </w:r>
      <w:r>
        <w:rPr>
          <w:b/>
          <w:bCs/>
        </w:rPr>
        <w:t xml:space="preserve">the value of the goods concerned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7.2. Breach by Party A</w:t>
      </w:r>
    </w:p>
    <w:p>
      <w:pPr>
        <w:pStyle w:val="Compact"/>
        <w:numPr>
          <w:ilvl w:val="0"/>
          <w:numId w:val="1008"/>
        </w:numPr>
      </w:pPr>
      <w:r>
        <w:t xml:space="preserve">Late payment: for each day of delay, </w:t>
      </w:r>
      <w:r>
        <w:rPr>
          <w:rFonts w:hint="eastAsia"/>
        </w:rPr>
        <w:t xml:space="preserve">＿＿＿</w:t>
      </w:r>
      <w:r>
        <w:t xml:space="preserve"> % of</w:t>
      </w:r>
      <w:r>
        <w:t xml:space="preserve"> </w:t>
      </w:r>
      <w:r>
        <w:rPr>
          <w:b/>
          <w:bCs/>
        </w:rPr>
        <w:t xml:space="preserve">the amount outstanding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Late acceptance of delivery: for each day of delay, </w:t>
      </w:r>
      <w:r>
        <w:rPr>
          <w:rFonts w:hint="eastAsia"/>
        </w:rPr>
        <w:t xml:space="preserve">＿＿＿</w:t>
      </w:r>
      <w:r>
        <w:t xml:space="preserve"> % of</w:t>
      </w:r>
      <w:r>
        <w:t xml:space="preserve"> </w:t>
      </w:r>
      <w:r>
        <w:rPr>
          <w:b/>
          <w:bCs/>
        </w:rPr>
        <w:t xml:space="preserve">the value of the goods</w:t>
      </w:r>
      <w:r>
        <w:rPr>
          <w:b/>
          <w:bCs/>
        </w:rPr>
        <w:t xml:space="preserve"> </w:t>
      </w:r>
      <w:r>
        <w:rPr>
          <w:b/>
          <w:bCs/>
        </w:rPr>
        <w:t xml:space="preserve">concerned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7.3. Cap on penalties</w:t>
      </w:r>
      <w:r>
        <w:t xml:space="preserve">: however the sums under Clauses 7.1 and 7.2 accumulate,</w:t>
      </w:r>
      <w:r>
        <w:t xml:space="preserve"> </w:t>
      </w:r>
      <w:r>
        <w:rPr>
          <w:b/>
          <w:bCs/>
        </w:rPr>
        <w:t xml:space="preserve">the aggregate penalty shall not exceed 8% of the value of the contractual obligation breached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7.4.</w:t>
      </w:r>
      <w:r>
        <w:t xml:space="preserve"> </w:t>
      </w:r>
      <w:r>
        <w:t xml:space="preserve">The penalty does not affect the innocent Party’s right to claim actual damages.</w:t>
      </w:r>
    </w:p>
    <w:p>
      <w:pPr>
        <w:pStyle w:val="BlockText"/>
      </w:pPr>
      <w:r>
        <w:rPr>
          <w:b/>
          <w:bCs/>
        </w:rPr>
        <w:t xml:space="preserve">Article 301 of the Commercial Law 2005</w:t>
      </w:r>
      <w:r>
        <w:t xml:space="preserve">: the penalty, or the aggregate penalty for</w:t>
      </w:r>
      <w:r>
        <w:t xml:space="preserve"> </w:t>
      </w:r>
      <w:r>
        <w:t xml:space="preserve">multiple breaches, is as agreed,</w:t>
      </w:r>
      <w:r>
        <w:t xml:space="preserve"> </w:t>
      </w:r>
      <w:r>
        <w:rPr>
          <w:b/>
          <w:bCs/>
        </w:rPr>
        <w:t xml:space="preserve">but shall not exceed 8% of the value of the contractual</w:t>
      </w:r>
      <w:r>
        <w:rPr>
          <w:b/>
          <w:bCs/>
        </w:rPr>
        <w:t xml:space="preserve"> </w:t>
      </w:r>
      <w:r>
        <w:rPr>
          <w:b/>
          <w:bCs/>
        </w:rPr>
        <w:t xml:space="preserve">obligation breached</w:t>
      </w:r>
      <w:r>
        <w:t xml:space="preserve"> </w:t>
      </w:r>
      <w:r>
        <w:t xml:space="preserve">(save in the case under Article 266 of that Law).</w:t>
      </w:r>
    </w:p>
    <w:p>
      <w:pPr>
        <w:pStyle w:val="BlockText"/>
      </w:pPr>
      <w:r>
        <w:rPr>
          <w:b/>
          <w:bCs/>
        </w:rPr>
        <w:t xml:space="preserve">The original template had two problems here, both corrected</w:t>
      </w:r>
      <w:r>
        <w:t xml:space="preserve">:</w:t>
      </w:r>
      <w:r>
        <w:t xml:space="preserve"> </w:t>
      </w:r>
      <w:r>
        <w:t xml:space="preserve">(i) it set four penalties of</w:t>
      </w:r>
      <w:r>
        <w:t xml:space="preserve"> </w:t>
      </w:r>
      <w:r>
        <w:rPr>
          <w:b/>
          <w:bCs/>
        </w:rPr>
        <w:t xml:space="preserve">0.05% per day with no cap whatsoever</w:t>
      </w:r>
      <w:r>
        <w:t xml:space="preserve"> </w:t>
      </w:r>
      <w:r>
        <w:t xml:space="preserve">— accumulating daily,</w:t>
      </w:r>
      <w:r>
        <w:t xml:space="preserve"> </w:t>
      </w:r>
      <w:r>
        <w:rPr>
          <w:b/>
          <w:bCs/>
        </w:rPr>
        <w:t xml:space="preserve">160 days reaches the 8% statutory ceiling</w:t>
      </w:r>
      <w:r>
        <w:t xml:space="preserve">, and anything computed beyond that will not</w:t>
      </w:r>
      <w:r>
        <w:t xml:space="preserve"> </w:t>
      </w:r>
      <w:r>
        <w:t xml:space="preserve">be upheld;</w:t>
      </w:r>
      <w:r>
        <w:t xml:space="preserve"> </w:t>
      </w:r>
      <w:r>
        <w:t xml:space="preserve">(ii) it used</w:t>
      </w:r>
      <w:r>
        <w:t xml:space="preserve"> </w:t>
      </w:r>
      <w:r>
        <w:rPr>
          <w:b/>
          <w:bCs/>
        </w:rPr>
        <w:t xml:space="preserve">“total contract value”</w:t>
      </w:r>
      <w:r>
        <w:t xml:space="preserve"> </w:t>
      </w:r>
      <w:r>
        <w:t xml:space="preserve">as the base, whereas the statutory base is</w:t>
      </w:r>
      <w:r>
        <w:t xml:space="preserve"> </w:t>
      </w:r>
      <w:r>
        <w:rPr>
          <w:b/>
          <w:bCs/>
        </w:rPr>
        <w:t xml:space="preserve">the value of the obligation breached</w:t>
      </w:r>
      <w:r>
        <w:t xml:space="preserve">. A penalty on the whole contract value for a</w:t>
      </w:r>
      <w:r>
        <w:t xml:space="preserve"> </w:t>
      </w:r>
      <w:r>
        <w:t xml:space="preserve">VND 1,000 late payment would be reduced in any dispute.</w:t>
      </w:r>
    </w:p>
    <w:bookmarkEnd w:id="18"/>
    <w:bookmarkStart w:id="19" w:name="article-8.-force-majeure"/>
    <w:p>
      <w:pPr>
        <w:pStyle w:val="Heading3"/>
      </w:pPr>
      <w:r>
        <w:t xml:space="preserve">Article 8. Force Majeure</w:t>
      </w:r>
    </w:p>
    <w:p>
      <w:pPr>
        <w:pStyle w:val="FirstParagraph"/>
      </w:pPr>
      <w:r>
        <w:t xml:space="preserve">Where force majeure prevents performance, neither Party is liable for breach, but each must</w:t>
      </w:r>
      <w:r>
        <w:t xml:space="preserve"> </w:t>
      </w:r>
      <w:r>
        <w:t xml:space="preserve">notify the other within </w:t>
      </w:r>
      <w:r>
        <w:rPr>
          <w:rFonts w:hint="eastAsia"/>
        </w:rPr>
        <w:t xml:space="preserve">＿＿＿</w:t>
      </w:r>
      <w:r>
        <w:t xml:space="preserve"> days of the event with evidence; if it continues beyond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days, either Party may propose termination.</w:t>
      </w:r>
    </w:p>
    <w:p>
      <w:pPr>
        <w:pStyle w:val="BlockText"/>
      </w:pPr>
      <w:r>
        <w:t xml:space="preserve">The original template had no force majeure clause.</w:t>
      </w:r>
    </w:p>
    <w:bookmarkEnd w:id="19"/>
    <w:bookmarkStart w:id="20" w:name="article-9.-dispute-resolution"/>
    <w:p>
      <w:pPr>
        <w:pStyle w:val="Heading3"/>
      </w:pPr>
      <w:r>
        <w:t xml:space="preserve">Article 9. Dispute Resolution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Where a dispute arises in performance, the Party raising it shall notify the other</w:t>
      </w:r>
      <w:r>
        <w:t xml:space="preserve"> </w:t>
      </w:r>
      <w:r>
        <w:t xml:space="preserve">in writing.</w:t>
      </w:r>
    </w:p>
    <w:p>
      <w:pPr>
        <w:pStyle w:val="BodyText"/>
      </w:pPr>
      <w:r>
        <w:rPr>
          <w:b/>
          <w:bCs/>
        </w:rPr>
        <w:t xml:space="preserve">9.2.</w:t>
      </w:r>
      <w:r>
        <w:t xml:space="preserve"> </w:t>
      </w:r>
      <w:r>
        <w:t xml:space="preserve">The Parties shall resolve it by negotiation; failing agreement, the dispute shall</w:t>
      </w:r>
      <w:r>
        <w:t xml:space="preserve"> </w:t>
      </w:r>
      <w:r>
        <w:t xml:space="preserve">be referred to the</w:t>
      </w:r>
      <w:r>
        <w:t xml:space="preserve"> </w:t>
      </w:r>
      <w:r>
        <w:rPr>
          <w:b/>
          <w:bCs/>
        </w:rPr>
        <w:t xml:space="preserve">competent authority or court of Vietnam</w:t>
      </w:r>
      <w:r>
        <w:t xml:space="preserve"> </w:t>
      </w:r>
      <w:r>
        <w:t xml:space="preserve">under applicable law; the</w:t>
      </w:r>
      <w:r>
        <w:t xml:space="preserve"> </w:t>
      </w:r>
      <w:r>
        <w:t xml:space="preserve">Parties may alternatively agree in writing to refer it to a commercial arbitration centre</w:t>
      </w:r>
      <w:r>
        <w:t xml:space="preserve"> </w:t>
      </w:r>
      <w:r>
        <w:t xml:space="preserve">in Vietnam.</w:t>
      </w:r>
    </w:p>
    <w:bookmarkEnd w:id="20"/>
    <w:bookmarkStart w:id="21" w:name="article-10.-termination"/>
    <w:p>
      <w:pPr>
        <w:pStyle w:val="Heading3"/>
      </w:pPr>
      <w:r>
        <w:t xml:space="preserve">Article 10. Termination</w:t>
      </w:r>
    </w:p>
    <w:p>
      <w:pPr>
        <w:pStyle w:val="FirstParagraph"/>
      </w:pPr>
      <w:r>
        <w:t xml:space="preserve">This contract terminates where:</w:t>
      </w:r>
    </w:p>
    <w:p>
      <w:pPr>
        <w:pStyle w:val="Compact"/>
        <w:numPr>
          <w:ilvl w:val="0"/>
          <w:numId w:val="1009"/>
        </w:numPr>
      </w:pPr>
      <w:r>
        <w:t xml:space="preserve">the Parties have performed all rights and obligations under it;</w:t>
      </w:r>
    </w:p>
    <w:p>
      <w:pPr>
        <w:pStyle w:val="Compact"/>
        <w:numPr>
          <w:ilvl w:val="0"/>
          <w:numId w:val="1009"/>
        </w:numPr>
      </w:pPr>
      <w:r>
        <w:t xml:space="preserve">a Party’s breach makes continued performance impossible, in which case the other Party may</w:t>
      </w:r>
      <w:r>
        <w:t xml:space="preserve"> </w:t>
      </w:r>
      <w:r>
        <w:t xml:space="preserve">terminate unilaterally;</w:t>
      </w:r>
    </w:p>
    <w:p>
      <w:pPr>
        <w:pStyle w:val="Compact"/>
        <w:numPr>
          <w:ilvl w:val="0"/>
          <w:numId w:val="1009"/>
        </w:numPr>
      </w:pPr>
      <w:r>
        <w:t xml:space="preserve">the Parties agree to terminate;</w:t>
      </w:r>
    </w:p>
    <w:p>
      <w:pPr>
        <w:pStyle w:val="Compact"/>
        <w:numPr>
          <w:ilvl w:val="0"/>
          <w:numId w:val="1009"/>
        </w:numPr>
      </w:pPr>
      <w:r>
        <w:t xml:space="preserve">any other circumstance provided by law arises.</w:t>
      </w:r>
    </w:p>
    <w:bookmarkEnd w:id="21"/>
    <w:bookmarkStart w:id="22" w:name="article-11.-liquidation"/>
    <w:p>
      <w:pPr>
        <w:pStyle w:val="Heading3"/>
      </w:pPr>
      <w:r>
        <w:t xml:space="preserve">Article 11. Liquidation</w:t>
      </w:r>
    </w:p>
    <w:p>
      <w:pPr>
        <w:pStyle w:val="FirstParagraph"/>
      </w:pPr>
      <w:r>
        <w:t xml:space="preserve">Once the Parties have fully and correctly performed all terms, and no dispute or claim</w:t>
      </w:r>
      <w:r>
        <w:t xml:space="preserve"> </w:t>
      </w:r>
      <w:r>
        <w:t xml:space="preserve">arises within </w:t>
      </w:r>
      <w:r>
        <w:rPr>
          <w:rFonts w:hint="eastAsia"/>
        </w:rPr>
        <w:t xml:space="preserve">＿＿＿</w:t>
      </w:r>
      <w:r>
        <w:t xml:space="preserve"> days (without prejudice to the complaint periods agreed in Clause 4.2</w:t>
      </w:r>
      <w:r>
        <w:t xml:space="preserve"> </w:t>
      </w:r>
      <w:r>
        <w:t xml:space="preserve">or applying by law), this contract is treated as liquidated.</w:t>
      </w:r>
    </w:p>
    <w:p>
      <w:pPr>
        <w:pStyle w:val="BlockText"/>
      </w:pPr>
      <w:r>
        <w:rPr>
          <w:b/>
          <w:bCs/>
        </w:rPr>
        <w:t xml:space="preserve">The original template’s article numbering jumped from Article 10 to Article 12, with no</w:t>
      </w:r>
      <w:r>
        <w:rPr>
          <w:b/>
          <w:bCs/>
        </w:rPr>
        <w:t xml:space="preserve"> </w:t>
      </w:r>
      <w:r>
        <w:rPr>
          <w:b/>
          <w:bCs/>
        </w:rPr>
        <w:t xml:space="preserve">Article 11.</w:t>
      </w:r>
      <w:r>
        <w:t xml:space="preserve"> </w:t>
      </w:r>
      <w:r>
        <w:t xml:space="preserve">This template restores the numbering and places the source’s</w:t>
      </w:r>
      <w:r>
        <w:t xml:space="preserve"> </w:t>
      </w:r>
      <w:r>
        <w:t xml:space="preserve">“conclusion of</w:t>
      </w:r>
      <w:r>
        <w:t xml:space="preserve"> </w:t>
      </w:r>
      <w:r>
        <w:t xml:space="preserve">contract”</w:t>
      </w:r>
      <w:r>
        <w:t xml:space="preserve"> </w:t>
      </w:r>
      <w:r>
        <w:t xml:space="preserve">provisions here.</w:t>
      </w:r>
    </w:p>
    <w:bookmarkEnd w:id="22"/>
    <w:bookmarkStart w:id="23" w:name="article-12.-effect-and-amendment"/>
    <w:p>
      <w:pPr>
        <w:pStyle w:val="Heading3"/>
      </w:pPr>
      <w:r>
        <w:t xml:space="preserve">Article 12. Effect and Amendment</w:t>
      </w:r>
    </w:p>
    <w:p>
      <w:pPr>
        <w:pStyle w:val="FirstParagraph"/>
      </w:pPr>
      <w:r>
        <w:rPr>
          <w:b/>
          <w:bCs/>
        </w:rPr>
        <w:t xml:space="preserve">12.1.</w:t>
      </w:r>
      <w:r>
        <w:t xml:space="preserve"> </w:t>
      </w:r>
      <w:r>
        <w:t xml:space="preserve">This contract takes effect from the date of signing and is treated as terminated</w:t>
      </w:r>
      <w:r>
        <w:t xml:space="preserve"> </w:t>
      </w:r>
      <w:r>
        <w:t xml:space="preserve">only once both Parties have performed all obligations.</w:t>
      </w:r>
    </w:p>
    <w:p>
      <w:pPr>
        <w:pStyle w:val="BodyText"/>
      </w:pPr>
      <w:r>
        <w:rPr>
          <w:b/>
          <w:bCs/>
        </w:rPr>
        <w:t xml:space="preserve">12.2.</w:t>
      </w:r>
      <w:r>
        <w:t xml:space="preserve"> </w:t>
      </w:r>
      <w:r>
        <w:t xml:space="preserve">A Party wishing to amend any term shall give the other</w:t>
      </w:r>
      <w:r>
        <w:t xml:space="preserve"> </w:t>
      </w:r>
      <w:r>
        <w:rPr>
          <w:b/>
          <w:bCs/>
        </w:rPr>
        <w:t xml:space="preserve">at least 3 days’</w:t>
      </w:r>
      <w:r>
        <w:t xml:space="preserve"> </w:t>
      </w:r>
      <w:r>
        <w:t xml:space="preserve">written</w:t>
      </w:r>
      <w:r>
        <w:t xml:space="preserve"> </w:t>
      </w:r>
      <w:r>
        <w:t xml:space="preserve">notice; an amendment takes effect only once the Parties have agreed its content in writing.</w:t>
      </w:r>
    </w:p>
    <w:p>
      <w:pPr>
        <w:pStyle w:val="BodyText"/>
      </w:pPr>
      <w:r>
        <w:rPr>
          <w:b/>
          <w:bCs/>
        </w:rPr>
        <w:t xml:space="preserve">12.3.</w:t>
      </w:r>
      <w:r>
        <w:t xml:space="preserve"> </w:t>
      </w:r>
      <w:r>
        <w:t xml:space="preserve">This contract is made in</w:t>
      </w:r>
      <w:r>
        <w:t xml:space="preserve"> </w:t>
      </w:r>
      <w:r>
        <w:rPr>
          <w:b/>
          <w:bCs/>
        </w:rPr>
        <w:t xml:space="preserve">Vietnamese and English</w:t>
      </w:r>
      <w:r>
        <w:t xml:space="preserve">, both of equal legal validity;</w:t>
      </w:r>
      <w:r>
        <w:t xml:space="preserve"> </w:t>
      </w:r>
      <w:r>
        <w:t xml:space="preserve">in the event of discrepancy,</w:t>
      </w:r>
      <w:r>
        <w:t xml:space="preserve"> </w:t>
      </w:r>
      <w:r>
        <w:rPr>
          <w:b/>
          <w:bCs/>
        </w:rPr>
        <w:t xml:space="preserve">the Vietnamese version prevails within the territory of Vietnam</w:t>
      </w:r>
      <w:r>
        <w:t xml:space="preserve">.</w:t>
      </w:r>
    </w:p>
    <w:p>
      <w:pPr>
        <w:pStyle w:val="BlockText"/>
      </w:pPr>
      <w:r>
        <w:t xml:space="preserve">The original template had no bilingual clause.</w:t>
      </w:r>
    </w:p>
    <w:p>
      <w:pPr>
        <w:pStyle w:val="FirstParagraph"/>
      </w:pPr>
      <w:r>
        <w:rPr>
          <w:b/>
          <w:bCs/>
        </w:rPr>
        <w:t xml:space="preserve">12.4.</w:t>
      </w:r>
      <w:r>
        <w:t xml:space="preserve"> </w:t>
      </w:r>
      <w:r>
        <w:t xml:space="preserve">It is made in </w:t>
      </w:r>
      <w:r>
        <w:rPr>
          <w:rFonts w:hint="eastAsia"/>
        </w:rPr>
        <w:t xml:space="preserve">＿＿＿</w:t>
      </w:r>
      <w:r>
        <w:t xml:space="preserve"> counterparts, </w:t>
      </w:r>
      <w:r>
        <w:rPr>
          <w:rFonts w:hint="eastAsia"/>
        </w:rPr>
        <w:t xml:space="preserve">＿＿＿</w:t>
      </w:r>
      <w:r>
        <w:t xml:space="preserve"> held by each Party, of equal legal validity.</w:t>
      </w:r>
    </w:p>
    <w:p>
      <w:pPr>
        <w:pStyle w:val="BodyText"/>
      </w:pPr>
      <w:r>
        <w:rPr>
          <w:b/>
          <w:bCs/>
        </w:rPr>
        <w:t xml:space="preserve">12.5. Appendices</w:t>
      </w:r>
      <w:r>
        <w:t xml:space="preserve">: (1) specification sheet; (2) delivery schedule; (3) other: </w:t>
      </w:r>
      <w:r>
        <w:rPr>
          <w:rFonts w:hint="eastAsia"/>
        </w:rPr>
        <w:t xml:space="preserve">＿＿＿.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 THE SELLER</w:t>
            </w:r>
          </w:p>
        </w:tc>
        <w:tc>
          <w:tcPr/>
          <w:p>
            <w:pPr>
              <w:pStyle w:val="Compact"/>
            </w:pPr>
            <w:r>
              <w:t xml:space="preserve">FOR THE BUYER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(Sign, state name and affix seal)</w:t>
            </w:r>
          </w:p>
        </w:tc>
        <w:tc>
          <w:tcPr/>
          <w:p>
            <w:pPr>
              <w:pStyle w:val="Compact"/>
            </w:pPr>
            <w:r>
              <w:t xml:space="preserve">(Sign, state name and affix seal)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X5a737102b380d35c2c5127fc0d0cf46e9d3aafd"/>
    <w:p>
      <w:pPr>
        <w:pStyle w:val="Heading1"/>
      </w:pPr>
      <w:r>
        <w:t xml:space="preserve">APPENDIX: LEGAL BASIS REFERENCED IN THIS TEMPLATE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Clause</w:t>
            </w:r>
          </w:p>
        </w:tc>
        <w:tc>
          <w:tcPr/>
          <w:p>
            <w:pPr>
              <w:pStyle w:val="Compact"/>
            </w:pPr>
            <w:r>
              <w:t xml:space="preserve">Legal 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Opening recitals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Commercial Law No. 36/2005/QH11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Civil Code No. 91/2015/QH13</w:t>
            </w:r>
          </w:p>
        </w:tc>
        <w:tc>
          <w:tcPr/>
          <w:p>
            <w:pPr>
              <w:pStyle w:val="Compact"/>
            </w:pPr>
            <w:r>
              <w:t xml:space="preserve">The 2005 Civil Code (No. 33/2005/QH11) cited by the source</w:t>
            </w:r>
            <w:r>
              <w:t xml:space="preserve"> </w:t>
            </w:r>
            <w:r>
              <w:rPr>
                <w:b/>
                <w:bCs/>
              </w:rPr>
              <w:t xml:space="preserve">has been replaced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Article 1 – VAT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No. 48/2024/QH15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Resolution No. 204/2025/QH15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Decree No. 174/2025/NĐ-CP</w:t>
            </w:r>
          </w:p>
        </w:tc>
        <w:tc>
          <w:tcPr/>
          <w:p>
            <w:pPr>
              <w:pStyle w:val="Compact"/>
            </w:pPr>
            <w:r>
              <w:t xml:space="preserve">Standard 10%; certain goods reduced to 8% until</w:t>
            </w:r>
            <w:r>
              <w:t xml:space="preserve"> </w:t>
            </w:r>
            <w:r>
              <w:rPr>
                <w:b/>
                <w:bCs/>
              </w:rPr>
              <w:t xml:space="preserve">31/12/2026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3.3 – passing of risk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Articles 57 and 58, Commercial Law</w:t>
            </w:r>
          </w:p>
        </w:tc>
        <w:tc>
          <w:tcPr/>
          <w:p>
            <w:pPr>
              <w:pStyle w:val="Compact"/>
            </w:pPr>
            <w:r>
              <w:t xml:space="preserve">Specified place: on delivery there; no specified place with carriage: on handing to the first carrier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4.2 – complaint periods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318, Commercial Law</w:t>
            </w:r>
          </w:p>
        </w:tc>
        <w:tc>
          <w:tcPr/>
          <w:p>
            <w:pPr>
              <w:pStyle w:val="Compact"/>
            </w:pPr>
            <w:r>
              <w:t xml:space="preserve">Quantity</w:t>
            </w:r>
            <w:r>
              <w:t xml:space="preserve"> </w:t>
            </w:r>
            <w:r>
              <w:rPr>
                <w:b/>
                <w:bCs/>
              </w:rPr>
              <w:t xml:space="preserve">3 months</w:t>
            </w:r>
            <w:r>
              <w:t xml:space="preserve"> </w:t>
            </w:r>
            <w:r>
              <w:t xml:space="preserve">/ quality</w:t>
            </w:r>
            <w:r>
              <w:t xml:space="preserve"> </w:t>
            </w:r>
            <w:r>
              <w:rPr>
                <w:b/>
                <w:bCs/>
              </w:rPr>
              <w:t xml:space="preserve">6 months</w:t>
            </w:r>
            <w:r>
              <w:t xml:space="preserve"> </w:t>
            </w:r>
            <w:r>
              <w:t xml:space="preserve">(with warranty, 3 months after its expiry) / other breaches</w:t>
            </w:r>
            <w:r>
              <w:t xml:space="preserve"> </w:t>
            </w:r>
            <w:r>
              <w:rPr>
                <w:b/>
                <w:bCs/>
              </w:rPr>
              <w:t xml:space="preserve">9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5.5 – invoices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Decree No. 70/2025/NĐ-CP</w:t>
            </w:r>
            <w:r>
              <w:t xml:space="preserve">, effective 01/06/2025</w:t>
            </w:r>
          </w:p>
        </w:tc>
        <w:tc>
          <w:tcPr/>
          <w:p>
            <w:pPr>
              <w:pStyle w:val="Compact"/>
            </w:pPr>
            <w:r>
              <w:t xml:space="preserve">Time of issuance; written agreement before adjusting an incorrect invoice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7.3 – penalty cap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301, Commercial Law</w:t>
            </w:r>
          </w:p>
        </w:tc>
        <w:tc>
          <w:tcPr/>
          <w:p>
            <w:pPr>
              <w:pStyle w:val="Compact"/>
            </w:pPr>
            <w:r>
              <w:t xml:space="preserve">Aggregate penalty not exceeding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 </w:t>
            </w:r>
            <w:r>
              <w:t xml:space="preserve">of the value of the obligation breached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18 September 2026.</w:t>
      </w:r>
    </w:p>
    <w:p>
      <w:r>
        <w:pict>
          <v:rect style="width:0;height:1.5pt" o:hralign="center" o:hrstd="t" o:hr="t"/>
        </w:pict>
      </w:r>
    </w:p>
    <w:bookmarkEnd w:id="26"/>
    <w:bookmarkStart w:id="27" w:name="how-to-use-this-template-and-its-limits"/>
    <w:p>
      <w:pPr>
        <w:pStyle w:val="Heading1"/>
      </w:pPr>
      <w:r>
        <w:t xml:space="preserve">HOW TO USE THIS TEMPLATE, AND ITS LIMITS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This is a general template and does not constitute legal advice.</w:t>
      </w:r>
      <w:r>
        <w:t xml:space="preserve"> </w:t>
      </w:r>
      <w:r>
        <w:t xml:space="preserve">Import and export,</w:t>
      </w:r>
      <w:r>
        <w:t xml:space="preserve"> </w:t>
      </w:r>
      <w:r>
        <w:t xml:space="preserve">controlled goods and commodity trades each have their own sectoral rules; have a</w:t>
      </w:r>
      <w:r>
        <w:t xml:space="preserve"> </w:t>
      </w:r>
      <w:r>
        <w:t xml:space="preserve">Vietnamese-qualified lawyer review it before signing.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The Vietnamese version prevails</w:t>
      </w:r>
      <w:r>
        <w:t xml:space="preserve"> </w:t>
      </w:r>
      <w:r>
        <w:t xml:space="preserve">within the territory of Vietnam.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The source template contained four outright errors, all corrected here</w:t>
      </w:r>
      <w:r>
        <w:t xml:space="preserve">:</w:t>
      </w:r>
    </w:p>
    <w:p>
      <w:pPr>
        <w:pStyle w:val="Compact"/>
        <w:numPr>
          <w:ilvl w:val="1"/>
          <w:numId w:val="1011"/>
        </w:numPr>
      </w:pPr>
      <w:r>
        <w:t xml:space="preserve">it cited the</w:t>
      </w:r>
      <w:r>
        <w:t xml:space="preserve"> </w:t>
      </w:r>
      <w:r>
        <w:rPr>
          <w:b/>
          <w:bCs/>
        </w:rPr>
        <w:t xml:space="preserve">superseded 2005 Civil Code</w:t>
      </w:r>
      <w:r>
        <w:t xml:space="preserve">;</w:t>
      </w:r>
    </w:p>
    <w:p>
      <w:pPr>
        <w:pStyle w:val="Compact"/>
        <w:numPr>
          <w:ilvl w:val="1"/>
          <w:numId w:val="1011"/>
        </w:numPr>
      </w:pPr>
      <w:r>
        <w:t xml:space="preserve">the price table was headed</w:t>
      </w:r>
      <w:r>
        <w:t xml:space="preserve"> </w:t>
      </w:r>
      <w:r>
        <w:t xml:space="preserve">“VND 1,000”</w:t>
      </w:r>
      <w:r>
        <w:t xml:space="preserve"> </w:t>
      </w:r>
      <w:r>
        <w:t xml:space="preserve">while the column read</w:t>
      </w:r>
      <w:r>
        <w:t xml:space="preserve"> </w:t>
      </w:r>
      <w:r>
        <w:t xml:space="preserve">“VND”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thousand-fold discrepancy</w:t>
      </w:r>
      <w:r>
        <w:t xml:space="preserve">;</w:t>
      </w:r>
    </w:p>
    <w:p>
      <w:pPr>
        <w:pStyle w:val="Compact"/>
        <w:numPr>
          <w:ilvl w:val="1"/>
          <w:numId w:val="1011"/>
        </w:numPr>
      </w:pPr>
      <w:r>
        <w:t xml:space="preserve">delivery responsibility, carriage costs and passing of risk</w:t>
      </w:r>
      <w:r>
        <w:t xml:space="preserve"> </w:t>
      </w:r>
      <w:r>
        <w:rPr>
          <w:b/>
          <w:bCs/>
        </w:rPr>
        <w:t xml:space="preserve">contradicted each other</w:t>
      </w:r>
      <w:r>
        <w:t xml:space="preserve">;</w:t>
      </w:r>
    </w:p>
    <w:p>
      <w:pPr>
        <w:pStyle w:val="Compact"/>
        <w:numPr>
          <w:ilvl w:val="1"/>
          <w:numId w:val="1011"/>
        </w:numPr>
      </w:pPr>
      <w:r>
        <w:t xml:space="preserve">article numbering</w:t>
      </w:r>
      <w:r>
        <w:t xml:space="preserve"> </w:t>
      </w:r>
      <w:r>
        <w:rPr>
          <w:b/>
          <w:bCs/>
        </w:rPr>
        <w:t xml:space="preserve">jumped from Article 10 to Article 12</w:t>
      </w:r>
      <w:r>
        <w:t xml:space="preserve">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Establish four things before completing the form</w:t>
      </w:r>
      <w:r>
        <w:t xml:space="preserve">:</w:t>
      </w:r>
    </w:p>
    <w:p>
      <w:pPr>
        <w:pStyle w:val="Compact"/>
        <w:numPr>
          <w:ilvl w:val="1"/>
          <w:numId w:val="1012"/>
        </w:numPr>
      </w:pPr>
      <w:r>
        <w:t xml:space="preserve">which delivery method applies (it determines when risk passes);</w:t>
      </w:r>
    </w:p>
    <w:p>
      <w:pPr>
        <w:pStyle w:val="Compact"/>
        <w:numPr>
          <w:ilvl w:val="1"/>
          <w:numId w:val="1012"/>
        </w:numPr>
      </w:pPr>
      <w:r>
        <w:t xml:space="preserve">whether the consignment attracts VAT at 10% or 8% (expiring 31 December 2026);</w:t>
      </w:r>
    </w:p>
    <w:p>
      <w:pPr>
        <w:pStyle w:val="Compact"/>
        <w:numPr>
          <w:ilvl w:val="1"/>
          <w:numId w:val="1012"/>
        </w:numPr>
      </w:pPr>
      <w:r>
        <w:t xml:space="preserve">whether complaint periods are agreed or left to the statutory defaults;</w:t>
      </w:r>
    </w:p>
    <w:p>
      <w:pPr>
        <w:pStyle w:val="Compact"/>
        <w:numPr>
          <w:ilvl w:val="1"/>
          <w:numId w:val="1012"/>
        </w:numPr>
      </w:pPr>
      <w:r>
        <w:t xml:space="preserve">whether the daily penalties, accumulated, could reach the 8% cap.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Legal provisions are time-sensitive.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This template contains no information relating to any particular company.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Goods Sale and Purchase Contract Template (2026 Edition)</dc:title>
  <dc:creator/>
  <dc:language>en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