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Vietnam Recruitment, Social Insurance and PIT Withholding Guide (2026 Edition)</w:t>
      </w:r>
    </w:p>
    <w:bookmarkStart w:id="28" w:name="X943c38f3f51e94e4f10fd7dd8a69ca7fdf66adc"/>
    <w:p>
      <w:pPr>
        <w:pStyle w:val="Heading1"/>
      </w:pPr>
      <w:r>
        <w:t xml:space="preserve">RECRUITMENT, SOCIAL INSURANCE AND PERSONAL INCOME TAX WITHHOLDING IN VIETNAM</w:t>
      </w:r>
    </w:p>
    <w:p>
      <w:pPr>
        <w:pStyle w:val="FirstParagraph"/>
      </w:pPr>
      <w:r>
        <w:rPr>
          <w:b/>
          <w:bCs/>
        </w:rPr>
        <w:t xml:space="preserve">2026 Edition</w:t>
      </w:r>
    </w:p>
    <w:p>
      <w:pPr>
        <w:pStyle w:val="BodyText"/>
      </w:pPr>
      <w:r>
        <w:rPr>
          <w:b/>
          <w:bCs/>
        </w:rPr>
        <w:t xml:space="preserve">Legal verification date: 18 September 2026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b/>
          <w:bCs/>
        </w:rPr>
        <w:t xml:space="preserve">Two key updates in this edition — both change the numbers you calculate.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social insurance</w:t>
      </w:r>
      <w:r>
        <w:rPr>
          <w:b/>
          <w:bCs/>
        </w:rPr>
        <w:t xml:space="preserve"> </w:t>
      </w:r>
      <w:r>
        <w:rPr>
          <w:b/>
          <w:bCs/>
        </w:rPr>
        <w:t xml:space="preserve">“reference level”</w:t>
      </w:r>
      <w:r>
        <w:rPr>
          <w:b/>
          <w:bCs/>
        </w:rPr>
        <w:t xml:space="preserve"> </w:t>
      </w:r>
      <w:r>
        <w:rPr>
          <w:b/>
          <w:bCs/>
        </w:rPr>
        <w:t xml:space="preserve">has changed.</w:t>
      </w:r>
      <w:r>
        <w:t xml:space="preserve"> </w:t>
      </w:r>
      <w:r>
        <w:t xml:space="preserve">From</w:t>
      </w:r>
      <w:r>
        <w:t xml:space="preserve"> </w:t>
      </w:r>
      <w:r>
        <w:rPr>
          <w:b/>
          <w:bCs/>
        </w:rPr>
        <w:t xml:space="preserve">1 July 2026</w:t>
      </w:r>
      <w:r>
        <w:t xml:space="preserve"> </w:t>
      </w:r>
      <w:r>
        <w:t xml:space="preserve">it is</w:t>
      </w:r>
      <w:r>
        <w:t xml:space="preserve"> </w:t>
      </w:r>
      <w:r>
        <w:rPr>
          <w:b/>
          <w:bCs/>
        </w:rPr>
        <w:t xml:space="preserve">VND 2,530,000 per month</w:t>
      </w:r>
      <w:r>
        <w:t xml:space="preserve"> </w:t>
      </w:r>
      <w:r>
        <w:t xml:space="preserve">(previously VND 2,340,000), raising the contribution</w:t>
      </w:r>
      <w:r>
        <w:t xml:space="preserve"> </w:t>
      </w:r>
      <w:r>
        <w:t xml:space="preserve">ceiling from VND 46.8 million to</w:t>
      </w:r>
      <w:r>
        <w:t xml:space="preserve"> </w:t>
      </w:r>
      <w:r>
        <w:rPr>
          <w:b/>
          <w:bCs/>
        </w:rPr>
        <w:t xml:space="preserve">VND 50.6 million per month</w:t>
      </w:r>
      <w:r>
        <w:t xml:space="preserve">.</w:t>
      </w:r>
      <w:r>
        <w:t xml:space="preserve"> </w:t>
      </w:r>
      <w:r>
        <w:rPr>
          <w:b/>
          <w:bCs/>
        </w:rPr>
        <w:t xml:space="preserve">Older material almost universally still states VND 2,340,000.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progressive PIT table has been cut from seven bands to five</w:t>
      </w:r>
      <w:r>
        <w:t xml:space="preserve">, under the new</w:t>
      </w:r>
      <w:r>
        <w:t xml:space="preserve"> </w:t>
      </w:r>
      <w:r>
        <w:rPr>
          <w:b/>
          <w:bCs/>
        </w:rPr>
        <w:t xml:space="preserve">Law on Personal Income Tax No. 109/2025/QH15</w:t>
      </w:r>
      <w:r>
        <w:t xml:space="preserve">, applying from the</w:t>
      </w:r>
      <w:r>
        <w:t xml:space="preserve"> </w:t>
      </w:r>
      <w:r>
        <w:rPr>
          <w:b/>
          <w:bCs/>
        </w:rPr>
        <w:t xml:space="preserve">2026 tax year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13" w:name="part-i-recruitment"/>
    <w:p>
      <w:pPr>
        <w:pStyle w:val="Heading2"/>
      </w:pPr>
      <w:r>
        <w:t xml:space="preserve">PART I: RECRUITMENT</w:t>
      </w:r>
    </w:p>
    <w:bookmarkStart w:id="9" w:name="common-recruitment-channels-in-vietnam"/>
    <w:p>
      <w:pPr>
        <w:pStyle w:val="Heading3"/>
      </w:pPr>
      <w:r>
        <w:t xml:space="preserve">1. Common recruitment channels in Vietnam</w:t>
      </w:r>
    </w:p>
    <w:p>
      <w:pPr>
        <w:pStyle w:val="FirstParagraph"/>
      </w:pPr>
      <w:r>
        <w:rPr>
          <w:b/>
          <w:bCs/>
        </w:rPr>
        <w:t xml:space="preserve">Costs are indicative ranges; rely on each platform’s current quotation.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Platform</w:t>
            </w:r>
          </w:p>
        </w:tc>
        <w:tc>
          <w:tcPr/>
          <w:p>
            <w:pPr>
              <w:pStyle w:val="Compact"/>
            </w:pPr>
            <w:r>
              <w:t xml:space="preserve">Positioning</w:t>
            </w:r>
          </w:p>
        </w:tc>
        <w:tc>
          <w:tcPr/>
          <w:p>
            <w:pPr>
              <w:pStyle w:val="Compact"/>
            </w:pPr>
            <w:r>
              <w:t xml:space="preserve">Indicative cost</w:t>
            </w:r>
          </w:p>
        </w:tc>
        <w:tc>
          <w:tcPr/>
          <w:p>
            <w:pPr>
              <w:pStyle w:val="Compact"/>
            </w:pPr>
            <w:r>
              <w:t xml:space="preserve">Posting requirements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VietnamWorks</w:t>
            </w:r>
            <w:r>
              <w:t xml:space="preserve">&lt;vietnamworks.com&gt;</w:t>
            </w:r>
          </w:p>
        </w:tc>
        <w:tc>
          <w:tcPr/>
          <w:p>
            <w:pPr>
              <w:pStyle w:val="Compact"/>
            </w:pPr>
            <w:r>
              <w:t xml:space="preserve">Strong reputation, good candidate quality, broad sector coverage</w:t>
            </w:r>
          </w:p>
        </w:tc>
        <w:tc>
          <w:tcPr/>
          <w:p>
            <w:pPr>
              <w:pStyle w:val="Compact"/>
            </w:pPr>
            <w:r>
              <w:t xml:space="preserve">VND 2–10m per package</w:t>
            </w:r>
          </w:p>
        </w:tc>
        <w:tc>
          <w:tcPr/>
          <w:p>
            <w:pPr>
              <w:pStyle w:val="Compact"/>
            </w:pPr>
            <w:r>
              <w:t xml:space="preserve">Clear title; detailed duties; candidate requirements; benefits; location and contact. Professional presentation preferred; Vietnamese or English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TopCV</w:t>
            </w:r>
            <w:r>
              <w:t xml:space="preserve">&lt;topcv.vn&gt;</w:t>
            </w:r>
          </w:p>
        </w:tc>
        <w:tc>
          <w:tcPr/>
          <w:p>
            <w:pPr>
              <w:pStyle w:val="Compact"/>
            </w:pPr>
            <w:r>
              <w:t xml:space="preserve">Large data set, modern CV interface</w:t>
            </w:r>
          </w:p>
        </w:tc>
        <w:tc>
          <w:tcPr/>
          <w:p>
            <w:pPr>
              <w:pStyle w:val="Compact"/>
            </w:pPr>
            <w:r>
              <w:t xml:space="preserve">VND 2–10m per package</w:t>
            </w:r>
          </w:p>
        </w:tc>
        <w:tc>
          <w:tcPr/>
          <w:p>
            <w:pPr>
              <w:pStyle w:val="Compact"/>
            </w:pPr>
            <w:r>
              <w:t xml:space="preserve">No duplicated content; complete information (description, requirements, benefits); no spelling errors. Copied or ungrammatical content rejected; company logo advised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CareerViet</w:t>
            </w:r>
            <w:r>
              <w:t xml:space="preserve">&lt;careerviet.vn&gt;</w:t>
            </w:r>
          </w:p>
        </w:tc>
        <w:tc>
          <w:tcPr/>
          <w:p>
            <w:pPr>
              <w:pStyle w:val="Compact"/>
            </w:pPr>
            <w:r>
              <w:t xml:space="preserve">Strong in mid-to-senior management and professional roles; good screening, with recruitment reports</w:t>
            </w:r>
          </w:p>
        </w:tc>
        <w:tc>
          <w:tcPr/>
          <w:p>
            <w:pPr>
              <w:pStyle w:val="Compact"/>
            </w:pPr>
            <w:r>
              <w:t xml:space="preserve">VND 2–10m per package</w:t>
            </w:r>
          </w:p>
        </w:tc>
        <w:tc>
          <w:tcPr/>
          <w:p>
            <w:pPr>
              <w:pStyle w:val="Compact"/>
            </w:pPr>
            <w:r>
              <w:t xml:space="preserve">Accurate description of requirements and professional duties in English or Vietnamese; sector, level and job title mandatory; freelance or opaque listings not accepted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ViecLam24h</w:t>
            </w:r>
            <w:r>
              <w:t xml:space="preserve">&lt;vieclam24h.vn&gt;</w:t>
            </w:r>
          </w:p>
        </w:tc>
        <w:tc>
          <w:tcPr/>
          <w:p>
            <w:pPr>
              <w:pStyle w:val="Compact"/>
            </w:pPr>
            <w:r>
              <w:t xml:space="preserve">Mass-market roles, nationwide, suited to general and office staff</w:t>
            </w:r>
          </w:p>
        </w:tc>
        <w:tc>
          <w:tcPr/>
          <w:p>
            <w:pPr>
              <w:pStyle w:val="Compact"/>
            </w:pPr>
            <w:r>
              <w:t xml:space="preserve">VND 1.5–3m per package</w:t>
            </w:r>
          </w:p>
        </w:tc>
        <w:tc>
          <w:tcPr/>
          <w:p>
            <w:pPr>
              <w:pStyle w:val="Compact"/>
            </w:pPr>
            <w:r>
              <w:t xml:space="preserve">Telephone number and full address mandatory; complete company information, limited abbreviation; vague, MLM or off-sector listings prohibited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ITviec</w:t>
            </w:r>
            <w:r>
              <w:t xml:space="preserve">&lt;itviec.com&gt;</w:t>
            </w:r>
          </w:p>
        </w:tc>
        <w:tc>
          <w:tcPr/>
          <w:p>
            <w:pPr>
              <w:pStyle w:val="Compact"/>
            </w:pPr>
            <w:r>
              <w:t xml:space="preserve">IT talent (developers, BAs, testers)</w:t>
            </w:r>
          </w:p>
        </w:tc>
        <w:tc>
          <w:tcPr/>
          <w:p>
            <w:pPr>
              <w:pStyle w:val="Compact"/>
            </w:pPr>
            <w:r>
              <w:t xml:space="preserve">VND 2–10m per package</w:t>
            </w:r>
          </w:p>
        </w:tc>
        <w:tc>
          <w:tcPr/>
          <w:p>
            <w:pPr>
              <w:pStyle w:val="Compact"/>
            </w:pPr>
            <w:r>
              <w:t xml:space="preserve">Clear title; detailed duties; candidate requirements; benefits; location and contact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CareerLink</w:t>
            </w:r>
            <w:r>
              <w:t xml:space="preserve">&lt;careerlink.vn&gt;</w:t>
            </w:r>
          </w:p>
        </w:tc>
        <w:tc>
          <w:tcPr/>
          <w:p>
            <w:pPr>
              <w:pStyle w:val="Compact"/>
            </w:pPr>
            <w:r>
              <w:t xml:space="preserve">Strong with Japanese companies, industrial parks and technical roles</w:t>
            </w:r>
          </w:p>
        </w:tc>
        <w:tc>
          <w:tcPr/>
          <w:p>
            <w:pPr>
              <w:pStyle w:val="Compact"/>
            </w:pPr>
            <w:r>
              <w:t xml:space="preserve">VND 2–10m per package</w:t>
            </w:r>
          </w:p>
        </w:tc>
        <w:tc>
          <w:tcPr/>
          <w:p>
            <w:pPr>
              <w:pStyle w:val="Compact"/>
            </w:pPr>
            <w:r>
              <w:t xml:space="preserve">As above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123job.vn</w:t>
            </w:r>
            <w:r>
              <w:t xml:space="preserve">&lt;123job.vn&gt;</w:t>
            </w:r>
          </w:p>
        </w:tc>
        <w:tc>
          <w:tcPr/>
          <w:p>
            <w:pPr>
              <w:pStyle w:val="Compact"/>
            </w:pPr>
            <w:r>
              <w:t xml:space="preserve">Simple to use, low cost</w:t>
            </w:r>
          </w:p>
        </w:tc>
        <w:tc>
          <w:tcPr/>
          <w:p>
            <w:pPr>
              <w:pStyle w:val="Compact"/>
            </w:pPr>
            <w:r>
              <w:t xml:space="preserve">VND 1–3m per package</w:t>
            </w:r>
          </w:p>
        </w:tc>
        <w:tc>
          <w:tcPr/>
          <w:p>
            <w:pPr>
              <w:pStyle w:val="Compact"/>
            </w:pPr>
            <w:r>
              <w:t xml:space="preserve">Clear title; detailed duties; eligibility and qualifications; benefits; location and contact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Ybox</w:t>
            </w:r>
            <w:r>
              <w:t xml:space="preserve">&lt;ybox.vn&gt;</w:t>
            </w:r>
          </w:p>
        </w:tc>
        <w:tc>
          <w:tcPr/>
          <w:p>
            <w:pPr>
              <w:pStyle w:val="Compact"/>
            </w:pPr>
            <w:r>
              <w:t xml:space="preserve">Interns and university students</w:t>
            </w:r>
          </w:p>
        </w:tc>
        <w:tc>
          <w:tcPr/>
          <w:p>
            <w:pPr>
              <w:pStyle w:val="Compact"/>
            </w:pPr>
            <w:r>
              <w:t xml:space="preserve">Free</w:t>
            </w:r>
          </w:p>
        </w:tc>
        <w:tc>
          <w:tcPr/>
          <w:p>
            <w:pPr>
              <w:pStyle w:val="Compact"/>
            </w:pPr>
            <w:r>
              <w:t xml:space="preserve">No MLM roles; no part-time sales; job description and benefits must be stated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JobsGO</w:t>
            </w:r>
            <w:r>
              <w:t xml:space="preserve">&lt;jobsgo.vn&gt;</w:t>
            </w:r>
          </w:p>
        </w:tc>
        <w:tc>
          <w:tcPr/>
          <w:p>
            <w:pPr>
              <w:pStyle w:val="Compact"/>
            </w:pPr>
            <w:r>
              <w:t xml:space="preserve">Free tier for SMEs</w:t>
            </w:r>
          </w:p>
        </w:tc>
        <w:tc>
          <w:tcPr/>
          <w:p>
            <w:pPr>
              <w:pStyle w:val="Compact"/>
            </w:pPr>
            <w:r>
              <w:t xml:space="preserve">VND 500,000 per package</w:t>
            </w:r>
          </w:p>
        </w:tc>
        <w:tc>
          <w:tcPr/>
          <w:p>
            <w:pPr>
              <w:pStyle w:val="Compact"/>
            </w:pPr>
            <w:r>
              <w:t xml:space="preserve">Complete fields: description, requirements, benefits, working arrangement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Glints</w:t>
            </w:r>
            <w:r>
              <w:t xml:space="preserve">&lt;glints.com/vn&gt;</w:t>
            </w:r>
          </w:p>
        </w:tc>
        <w:tc>
          <w:tcPr/>
          <w:p>
            <w:pPr>
              <w:pStyle w:val="Compact"/>
            </w:pPr>
            <w:r>
              <w:t xml:space="preserve">Limited free service; suits start-ups and entry-level roles</w:t>
            </w:r>
          </w:p>
        </w:tc>
        <w:tc>
          <w:tcPr/>
          <w:p>
            <w:pPr>
              <w:pStyle w:val="Compact"/>
            </w:pPr>
            <w:r>
              <w:t xml:space="preserve">VND 1m per package</w:t>
            </w:r>
          </w:p>
        </w:tc>
        <w:tc>
          <w:tcPr/>
          <w:p>
            <w:pPr>
              <w:pStyle w:val="Compact"/>
            </w:pPr>
            <w:r>
              <w:t xml:space="preserve">As above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Timviec365</w:t>
            </w:r>
            <w:r>
              <w:t xml:space="preserve">&lt;timviec365.vn&gt;</w:t>
            </w:r>
          </w:p>
        </w:tc>
        <w:tc>
          <w:tcPr/>
          <w:p>
            <w:pPr>
              <w:pStyle w:val="Compact"/>
            </w:pPr>
            <w:r>
              <w:t xml:space="preserve">Free tier available, low visibility without payment</w:t>
            </w:r>
          </w:p>
        </w:tc>
        <w:tc>
          <w:tcPr/>
          <w:p>
            <w:pPr>
              <w:pStyle w:val="Compact"/>
            </w:pPr>
            <w:r>
              <w:t xml:space="preserve">Free tier; paid packages from about VND 1m</w:t>
            </w:r>
          </w:p>
        </w:tc>
        <w:tc>
          <w:tcPr/>
          <w:p>
            <w:pPr>
              <w:pStyle w:val="Compact"/>
            </w:pPr>
            <w:r>
              <w:t xml:space="preserve">As above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Facebook recruitment groups</w:t>
            </w:r>
          </w:p>
        </w:tc>
        <w:tc>
          <w:tcPr/>
          <w:p>
            <w:pPr>
              <w:pStyle w:val="Compact"/>
            </w:pPr>
            <w:r>
              <w:t xml:space="preserve">Back-office roles (HR, accounting), general roles, interns, part-time</w:t>
            </w:r>
          </w:p>
        </w:tc>
        <w:tc>
          <w:tcPr/>
          <w:p>
            <w:pPr>
              <w:pStyle w:val="Compact"/>
            </w:pPr>
            <w:r>
              <w:t xml:space="preserve">Free</w:t>
            </w:r>
          </w:p>
        </w:tc>
        <w:tc>
          <w:tcPr/>
          <w:p>
            <w:pPr>
              <w:pStyle w:val="Compact"/>
            </w:pPr>
            <w:r>
              <w:t xml:space="preserve">State salary, job title and contact clearly; avoid exaggeration or vagueness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Zalo OA / groups</w:t>
            </w:r>
          </w:p>
        </w:tc>
        <w:tc>
          <w:tcPr/>
          <w:p>
            <w:pPr>
              <w:pStyle w:val="Compact"/>
            </w:pPr>
            <w:r>
              <w:t xml:space="preserve">Internal recruitment, sector-specific roles</w:t>
            </w:r>
          </w:p>
        </w:tc>
        <w:tc>
          <w:tcPr/>
          <w:p>
            <w:pPr>
              <w:pStyle w:val="Compact"/>
            </w:pPr>
            <w:r>
              <w:t xml:space="preserve">Free</w:t>
            </w:r>
          </w:p>
        </w:tc>
        <w:tc>
          <w:tcPr/>
          <w:p>
            <w:pPr>
              <w:pStyle w:val="Compact"/>
            </w:pPr>
            <w:r>
              <w:t xml:space="preserve">Include images; credible content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LinkedIn</w:t>
            </w:r>
            <w:r>
              <w:t xml:space="preserve">&lt;linkedin.com&gt;</w:t>
            </w:r>
          </w:p>
        </w:tc>
        <w:tc>
          <w:tcPr/>
          <w:p>
            <w:pPr>
              <w:pStyle w:val="Compact"/>
            </w:pPr>
            <w:r>
              <w:t xml:space="preserve">Specialists and senior talent; IT, marketing, finance</w:t>
            </w:r>
          </w:p>
        </w:tc>
        <w:tc>
          <w:tcPr/>
          <w:p>
            <w:pPr>
              <w:pStyle w:val="Compact"/>
            </w:pPr>
            <w:r>
              <w:t xml:space="preserve">Personal profile free; corporate packages about VND 5–20m</w:t>
            </w:r>
          </w:p>
        </w:tc>
        <w:tc>
          <w:tcPr/>
          <w:p>
            <w:pPr>
              <w:pStyle w:val="Compact"/>
            </w:pPr>
            <w:r>
              <w:t xml:space="preserve">Professional content, mainly in English; clear on culture, role and skills; company credentials or a credible profile page</w:t>
            </w:r>
          </w:p>
        </w:tc>
      </w:tr>
    </w:tbl>
    <w:p>
      <w:pPr>
        <w:pStyle w:val="BlockText"/>
      </w:pPr>
      <w:r>
        <w:rPr>
          <w:b/>
          <w:bCs/>
        </w:rPr>
        <w:t xml:space="preserve">One error in the source has been corrected</w:t>
      </w:r>
      <w:r>
        <w:t xml:space="preserve">: the CareerLink row read</w:t>
      </w:r>
      <w:r>
        <w:t xml:space="preserve"> </w:t>
      </w:r>
      <w:r>
        <w:t xml:space="preserve">“VND 2m–1m per package”</w:t>
      </w:r>
      <w:r>
        <w:t xml:space="preserve">, with the bounds inverted. On the basis of comparable platforms</w:t>
      </w:r>
      <w:r>
        <w:t xml:space="preserve"> </w:t>
      </w:r>
      <w:r>
        <w:t xml:space="preserve">the range should be VND 2–10m.</w:t>
      </w:r>
      <w:r>
        <w:t xml:space="preserve"> </w:t>
      </w:r>
      <w:r>
        <w:rPr>
          <w:b/>
          <w:bCs/>
        </w:rPr>
        <w:t xml:space="preserve">Costs remain indicative; use current quotations.</w:t>
      </w:r>
    </w:p>
    <w:bookmarkEnd w:id="9"/>
    <w:bookmarkStart w:id="10" w:name="general-requirements-for-job-postings"/>
    <w:p>
      <w:pPr>
        <w:pStyle w:val="Heading3"/>
      </w:pPr>
      <w:r>
        <w:t xml:space="preserve">2. General requirements for job postings</w:t>
      </w:r>
    </w:p>
    <w:p>
      <w:pPr>
        <w:pStyle w:val="Compact"/>
        <w:numPr>
          <w:ilvl w:val="0"/>
          <w:numId w:val="1002"/>
        </w:numPr>
      </w:pPr>
      <w:r>
        <w:t xml:space="preserve">A clear title appropriate to the sector;</w:t>
      </w:r>
    </w:p>
    <w:p>
      <w:pPr>
        <w:pStyle w:val="Compact"/>
        <w:numPr>
          <w:ilvl w:val="0"/>
          <w:numId w:val="1002"/>
        </w:numPr>
      </w:pPr>
      <w:r>
        <w:t xml:space="preserve">A detailed description of duties and candidate requirements;</w:t>
      </w:r>
    </w:p>
    <w:p>
      <w:pPr>
        <w:pStyle w:val="Compact"/>
        <w:numPr>
          <w:ilvl w:val="0"/>
          <w:numId w:val="1002"/>
        </w:numPr>
      </w:pPr>
      <w:r>
        <w:t xml:space="preserve">Accurate contact details;</w:t>
      </w:r>
    </w:p>
    <w:p>
      <w:pPr>
        <w:pStyle w:val="Compact"/>
        <w:numPr>
          <w:ilvl w:val="0"/>
          <w:numId w:val="1002"/>
        </w:numPr>
      </w:pPr>
      <w:r>
        <w:t xml:space="preserve">No spelling errors or unprofessional phrasing;</w:t>
      </w:r>
    </w:p>
    <w:p>
      <w:pPr>
        <w:pStyle w:val="Compact"/>
        <w:numPr>
          <w:ilvl w:val="0"/>
          <w:numId w:val="1002"/>
        </w:numPr>
      </w:pPr>
      <w:r>
        <w:t xml:space="preserve">Compliance with the platform’s policies and terms.</w:t>
      </w:r>
    </w:p>
    <w:bookmarkEnd w:id="10"/>
    <w:bookmarkStart w:id="11" w:name="standard-recruitment-process"/>
    <w:p>
      <w:pPr>
        <w:pStyle w:val="Heading3"/>
      </w:pPr>
      <w:r>
        <w:t xml:space="preserve">3. Standard recruitment process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Define the need</w:t>
      </w:r>
      <w:r>
        <w:t xml:space="preserve">: headcount, role and detailed job description; standards for</w:t>
      </w:r>
      <w:r>
        <w:t xml:space="preserve"> </w:t>
      </w:r>
      <w:r>
        <w:t xml:space="preserve">qualifications, skills and experience.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Plan</w:t>
      </w:r>
      <w:r>
        <w:t xml:space="preserve">: timeline, resources and budget; choose channels (company website, social media,</w:t>
      </w:r>
      <w:r>
        <w:t xml:space="preserve"> </w:t>
      </w:r>
      <w:r>
        <w:t xml:space="preserve">job platforms); a contingency plan.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Post and source actively</w:t>
      </w:r>
      <w:r>
        <w:t xml:space="preserve">: build the job description (responsibilities, requirements,</w:t>
      </w:r>
      <w:r>
        <w:t xml:space="preserve"> </w:t>
      </w:r>
      <w:r>
        <w:t xml:space="preserve">benefits); post on platforms; use candidate search tools; approach prospects through</w:t>
      </w:r>
      <w:r>
        <w:t xml:space="preserve"> </w:t>
      </w:r>
      <w:r>
        <w:t xml:space="preserve">networks.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Screen CVs</w:t>
      </w:r>
      <w:r>
        <w:t xml:space="preserve"> </w:t>
      </w:r>
      <w:r>
        <w:t xml:space="preserve">against the criteria set, shortlisting for interview.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Interview</w:t>
      </w:r>
      <w:r>
        <w:t xml:space="preserve">, in person or online, assessing capability, experience and disposition.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Assess and hire</w:t>
      </w:r>
      <w:r>
        <w:t xml:space="preserve">: consolidate results, decide and notify; issue the offer letter and</w:t>
      </w:r>
      <w:r>
        <w:t xml:space="preserve"> </w:t>
      </w:r>
      <w:r>
        <w:t xml:space="preserve">complete onboarding.</w:t>
      </w:r>
    </w:p>
    <w:bookmarkEnd w:id="11"/>
    <w:bookmarkStart w:id="12" w:name="end-of-probation-assessment"/>
    <w:p>
      <w:pPr>
        <w:pStyle w:val="Heading3"/>
      </w:pPr>
      <w:r>
        <w:t xml:space="preserve">4. End-of-probation assessment</w:t>
      </w:r>
    </w:p>
    <w:p>
      <w:pPr>
        <w:pStyle w:val="Compact"/>
        <w:numPr>
          <w:ilvl w:val="0"/>
          <w:numId w:val="1004"/>
        </w:numPr>
      </w:pPr>
      <w:r>
        <w:t xml:space="preserve">The line manager is responsible for the assessment;</w:t>
      </w:r>
    </w:p>
    <w:p>
      <w:pPr>
        <w:pStyle w:val="Compact"/>
        <w:numPr>
          <w:ilvl w:val="0"/>
          <w:numId w:val="1004"/>
        </w:numPr>
      </w:pPr>
      <w:r>
        <w:t xml:space="preserve">Criteria include professional capability, attitude and ability to work with others;</w:t>
      </w:r>
    </w:p>
    <w:p>
      <w:pPr>
        <w:pStyle w:val="Compact"/>
        <w:numPr>
          <w:ilvl w:val="0"/>
          <w:numId w:val="1004"/>
        </w:numPr>
      </w:pPr>
      <w:r>
        <w:t xml:space="preserve">The result determines whether a labour contract is signed or probation ends;</w:t>
      </w:r>
    </w:p>
    <w:p>
      <w:pPr>
        <w:pStyle w:val="Compact"/>
        <w:numPr>
          <w:ilvl w:val="0"/>
          <w:numId w:val="1004"/>
        </w:numPr>
      </w:pPr>
      <w:r>
        <w:t xml:space="preserve">Where satisfactory, sign the labour contract within 1–3 days of the assessment.</w:t>
      </w:r>
    </w:p>
    <w:p>
      <w:pPr>
        <w:pStyle w:val="BlockText"/>
      </w:pPr>
      <w:r>
        <w:rPr>
          <w:b/>
          <w:bCs/>
        </w:rPr>
        <w:t xml:space="preserve">Statutory requirements (Labour Code No. 45/2019/QH14, Article 27)</w:t>
      </w:r>
      <w:r>
        <w:t xml:space="preserve">: at the end of</w:t>
      </w:r>
      <w:r>
        <w:t xml:space="preserve"> </w:t>
      </w:r>
      <w:r>
        <w:t xml:space="preserve">probation the</w:t>
      </w:r>
      <w:r>
        <w:t xml:space="preserve"> </w:t>
      </w:r>
      <w:r>
        <w:rPr>
          <w:b/>
          <w:bCs/>
        </w:rPr>
        <w:t xml:space="preserve">employer must notify the employee of the result</w:t>
      </w:r>
      <w:r>
        <w:t xml:space="preserve">; where the result is</w:t>
      </w:r>
      <w:r>
        <w:t xml:space="preserve"> </w:t>
      </w:r>
      <w:r>
        <w:t xml:space="preserve">satisfactory and the parties signed a</w:t>
      </w:r>
      <w:r>
        <w:t xml:space="preserve"> </w:t>
      </w:r>
      <w:r>
        <w:rPr>
          <w:b/>
          <w:bCs/>
        </w:rPr>
        <w:t xml:space="preserve">separate probationary contract, a labour contract</w:t>
      </w:r>
      <w:r>
        <w:rPr>
          <w:b/>
          <w:bCs/>
        </w:rPr>
        <w:t xml:space="preserve"> </w:t>
      </w:r>
      <w:r>
        <w:rPr>
          <w:b/>
          <w:bCs/>
        </w:rPr>
        <w:t xml:space="preserve">must be concluded</w:t>
      </w:r>
      <w:r>
        <w:t xml:space="preserve">. During probation either party may cancel</w:t>
      </w:r>
      <w:r>
        <w:t xml:space="preserve"> </w:t>
      </w:r>
      <w:r>
        <w:rPr>
          <w:b/>
          <w:bCs/>
        </w:rPr>
        <w:t xml:space="preserve">without prior notice and</w:t>
      </w:r>
      <w:r>
        <w:rPr>
          <w:b/>
          <w:bCs/>
        </w:rPr>
        <w:t xml:space="preserve"> </w:t>
      </w:r>
      <w:r>
        <w:rPr>
          <w:b/>
          <w:bCs/>
        </w:rPr>
        <w:t xml:space="preserve">without compensation</w:t>
      </w:r>
      <w:r>
        <w:t xml:space="preserve"> </w:t>
      </w:r>
      <w:r>
        <w:t xml:space="preserve">(Article 27.2).</w:t>
      </w:r>
    </w:p>
    <w:p>
      <w:pPr>
        <w:pStyle w:val="BlockText"/>
      </w:pPr>
      <w:r>
        <w:t xml:space="preserve">Maximum probation under Article 25: enterprise managers 180 days; college degree or above</w:t>
      </w:r>
      <w:r>
        <w:t xml:space="preserve"> </w:t>
      </w:r>
      <w:r>
        <w:t xml:space="preserve">60 days; intermediate vocational, technical workers and operational staff 30 days; other</w:t>
      </w:r>
      <w:r>
        <w:t xml:space="preserve"> </w:t>
      </w:r>
      <w:r>
        <w:t xml:space="preserve">work 6 days;</w:t>
      </w:r>
      <w:r>
        <w:t xml:space="preserve"> </w:t>
      </w:r>
      <w:r>
        <w:rPr>
          <w:b/>
          <w:bCs/>
        </w:rPr>
        <w:t xml:space="preserve">probation may be conducted only once for one job</w:t>
      </w:r>
      <w:r>
        <w:t xml:space="preserve">. Probationary salary must</w:t>
      </w:r>
      <w:r>
        <w:t xml:space="preserve"> </w:t>
      </w:r>
      <w:r>
        <w:t xml:space="preserve">be</w:t>
      </w:r>
      <w:r>
        <w:t xml:space="preserve"> </w:t>
      </w:r>
      <w:r>
        <w:rPr>
          <w:b/>
          <w:bCs/>
        </w:rPr>
        <w:t xml:space="preserve">at least 85% of the salary for that job</w:t>
      </w:r>
      <w:r>
        <w:t xml:space="preserve"> </w:t>
      </w:r>
      <w:r>
        <w:t xml:space="preserve">(Article 26).</w:t>
      </w:r>
    </w:p>
    <w:p>
      <w:r>
        <w:pict>
          <v:rect style="width:0;height:1.5pt" o:hralign="center" o:hrstd="t" o:hr="t"/>
        </w:pict>
      </w:r>
    </w:p>
    <w:bookmarkEnd w:id="12"/>
    <w:bookmarkEnd w:id="13"/>
    <w:bookmarkStart w:id="18" w:name="part-ii-social-insurance"/>
    <w:p>
      <w:pPr>
        <w:pStyle w:val="Heading2"/>
      </w:pPr>
      <w:r>
        <w:t xml:space="preserve">PART II: SOCIAL INSURANCE</w:t>
      </w:r>
    </w:p>
    <w:bookmarkStart w:id="14" w:name="when-participation-is-compulsory"/>
    <w:p>
      <w:pPr>
        <w:pStyle w:val="Heading3"/>
      </w:pPr>
      <w:r>
        <w:t xml:space="preserve">1. When participation is compulsory</w:t>
      </w:r>
    </w:p>
    <w:p>
      <w:pPr>
        <w:pStyle w:val="Compact"/>
        <w:numPr>
          <w:ilvl w:val="0"/>
          <w:numId w:val="1005"/>
        </w:numPr>
      </w:pPr>
      <w:r>
        <w:t xml:space="preserve">Employees on a labour contract of</w:t>
      </w:r>
      <w:r>
        <w:t xml:space="preserve"> </w:t>
      </w:r>
      <w:r>
        <w:rPr>
          <w:b/>
          <w:bCs/>
        </w:rPr>
        <w:t xml:space="preserve">one month or more</w:t>
      </w:r>
      <w:r>
        <w:t xml:space="preserve"> </w:t>
      </w:r>
      <w:r>
        <w:t xml:space="preserve">must join social insurance (BHXH),</w:t>
      </w:r>
      <w:r>
        <w:t xml:space="preserve"> </w:t>
      </w:r>
      <w:r>
        <w:t xml:space="preserve">health insurance (BHYT) and unemployment insurance (BHTN).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Probation depends on the form of engagement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t xml:space="preserve">under a</w:t>
      </w:r>
      <w:r>
        <w:t xml:space="preserve"> </w:t>
      </w:r>
      <w:r>
        <w:rPr>
          <w:b/>
          <w:bCs/>
        </w:rPr>
        <w:t xml:space="preserve">separate probationary contract</w:t>
      </w:r>
      <w:r>
        <w:t xml:space="preserve">, the employee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covered;</w:t>
      </w:r>
    </w:p>
    <w:p>
      <w:pPr>
        <w:pStyle w:val="Compact"/>
        <w:numPr>
          <w:ilvl w:val="1"/>
          <w:numId w:val="1006"/>
        </w:numPr>
      </w:pPr>
      <w:r>
        <w:t xml:space="preserve">where probation is performed under a</w:t>
      </w:r>
      <w:r>
        <w:t xml:space="preserve"> </w:t>
      </w:r>
      <w:r>
        <w:rPr>
          <w:b/>
          <w:bCs/>
        </w:rPr>
        <w:t xml:space="preserve">labour contract containing probation terms</w:t>
      </w:r>
      <w:r>
        <w:t xml:space="preserve">,</w:t>
      </w:r>
      <w:r>
        <w:t xml:space="preserve"> </w:t>
      </w:r>
      <w:r>
        <w:t xml:space="preserve">contributions run</w:t>
      </w:r>
      <w:r>
        <w:t xml:space="preserve"> </w:t>
      </w:r>
      <w:r>
        <w:rPr>
          <w:b/>
          <w:bCs/>
        </w:rPr>
        <w:t xml:space="preserve">from the effective date of that labour contract</w:t>
      </w:r>
      <w:r>
        <w:t xml:space="preserve">.</w:t>
      </w:r>
    </w:p>
    <w:bookmarkEnd w:id="14"/>
    <w:bookmarkStart w:id="15" w:name="contribution-rates-2026"/>
    <w:p>
      <w:pPr>
        <w:pStyle w:val="Heading3"/>
      </w:pPr>
      <w:r>
        <w:t xml:space="preserve">2. Contribution rates (2026)</w:t>
      </w:r>
    </w:p>
    <w:p>
      <w:pPr>
        <w:pStyle w:val="FirstParagraph"/>
      </w:pPr>
      <w:r>
        <w:t xml:space="preserve">Under Articles 32, 33 and 34 of the</w:t>
      </w:r>
      <w:r>
        <w:t xml:space="preserve"> </w:t>
      </w:r>
      <w:r>
        <w:rPr>
          <w:b/>
          <w:bCs/>
        </w:rPr>
        <w:t xml:space="preserve">Law on Social Insurance No. 41/2024/QH15</w:t>
      </w:r>
      <w:r>
        <w:t xml:space="preserve">;</w:t>
      </w:r>
      <w:r>
        <w:t xml:space="preserve"> </w:t>
      </w:r>
      <w:r>
        <w:t xml:space="preserve">Article 4 of</w:t>
      </w:r>
      <w:r>
        <w:t xml:space="preserve"> </w:t>
      </w:r>
      <w:r>
        <w:rPr>
          <w:b/>
          <w:bCs/>
        </w:rPr>
        <w:t xml:space="preserve">Decree No. 58/2020/NĐ-CP</w:t>
      </w:r>
      <w:r>
        <w:t xml:space="preserve">; and</w:t>
      </w:r>
      <w:r>
        <w:t xml:space="preserve"> </w:t>
      </w:r>
      <w:r>
        <w:rPr>
          <w:b/>
          <w:bCs/>
        </w:rPr>
        <w:t xml:space="preserve">Decision No. 595/QĐ-BHXH</w:t>
      </w:r>
      <w:r>
        <w:t xml:space="preserve"> </w:t>
      </w:r>
      <w:r>
        <w:t xml:space="preserve">(2017).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Contributor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t xml:space="preserve">Retirement &amp; survivorship</w:t>
            </w:r>
          </w:p>
        </w:tc>
        <w:tc>
          <w:tcPr/>
          <w:p>
            <w:pPr>
              <w:pStyle w:val="Compact"/>
            </w:pPr>
            <w:r>
              <w:t xml:space="preserve">Sickness &amp; maternity</w:t>
            </w:r>
          </w:p>
        </w:tc>
        <w:tc>
          <w:tcPr/>
          <w:p>
            <w:pPr>
              <w:pStyle w:val="Compact"/>
            </w:pPr>
            <w:r>
              <w:t xml:space="preserve">Occupational accident &amp; disease</w:t>
            </w:r>
          </w:p>
        </w:tc>
        <w:tc>
          <w:tcPr/>
          <w:p>
            <w:pPr>
              <w:pStyle w:val="Compact"/>
            </w:pPr>
            <w:r>
              <w:t xml:space="preserve">Unemployment</w:t>
            </w:r>
          </w:p>
        </w:tc>
        <w:tc>
          <w:tcPr/>
          <w:p>
            <w:pPr>
              <w:pStyle w:val="Compact"/>
            </w:pPr>
            <w:r>
              <w:t xml:space="preserve">Health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Employer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21.5%</w:t>
            </w:r>
          </w:p>
        </w:tc>
        <w:tc>
          <w:tcPr/>
          <w:p>
            <w:pPr>
              <w:pStyle w:val="Compact"/>
            </w:pPr>
            <w:r>
              <w:t xml:space="preserve">14%</w:t>
            </w:r>
          </w:p>
        </w:tc>
        <w:tc>
          <w:tcPr/>
          <w:p>
            <w:pPr>
              <w:pStyle w:val="Compact"/>
            </w:pPr>
            <w:r>
              <w:t xml:space="preserve">3%</w:t>
            </w:r>
          </w:p>
        </w:tc>
        <w:tc>
          <w:tcPr/>
          <w:p>
            <w:pPr>
              <w:pStyle w:val="Compact"/>
            </w:pPr>
            <w:r>
              <w:t xml:space="preserve">0.5%</w:t>
            </w:r>
          </w:p>
        </w:tc>
        <w:tc>
          <w:tcPr/>
          <w:p>
            <w:pPr>
              <w:pStyle w:val="Compact"/>
            </w:pPr>
            <w:r>
              <w:t xml:space="preserve">1%</w:t>
            </w:r>
          </w:p>
        </w:tc>
        <w:tc>
          <w:tcPr/>
          <w:p>
            <w:pPr>
              <w:pStyle w:val="Compact"/>
            </w:pPr>
            <w:r>
              <w:t xml:space="preserve">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Employee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10.5%</w:t>
            </w:r>
          </w:p>
        </w:tc>
        <w:tc>
          <w:tcPr/>
          <w:p>
            <w:pPr>
              <w:pStyle w:val="Compact"/>
            </w:pPr>
            <w:r>
              <w:t xml:space="preserve">8%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1%</w:t>
            </w:r>
          </w:p>
        </w:tc>
        <w:tc>
          <w:tcPr/>
          <w:p>
            <w:pPr>
              <w:pStyle w:val="Compact"/>
            </w:pPr>
            <w:r>
              <w:t xml:space="preserve">1.5%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Combined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32%</w:t>
            </w:r>
          </w:p>
        </w:tc>
        <w:tc>
          <w:tcPr/>
          <w:p>
            <w:pPr>
              <w:pStyle w:val="Compact"/>
            </w:pPr>
            <w:r>
              <w:t xml:space="preserve">22%</w:t>
            </w:r>
          </w:p>
        </w:tc>
        <w:tc>
          <w:tcPr/>
          <w:p>
            <w:pPr>
              <w:pStyle w:val="Compact"/>
            </w:pPr>
            <w:r>
              <w:t xml:space="preserve">3%</w:t>
            </w:r>
          </w:p>
        </w:tc>
        <w:tc>
          <w:tcPr/>
          <w:p>
            <w:pPr>
              <w:pStyle w:val="Compact"/>
            </w:pPr>
            <w:r>
              <w:t xml:space="preserve">0.5%</w:t>
            </w:r>
          </w:p>
        </w:tc>
        <w:tc>
          <w:tcPr/>
          <w:p>
            <w:pPr>
              <w:pStyle w:val="Compact"/>
            </w:pPr>
            <w:r>
              <w:t xml:space="preserve">2%</w:t>
            </w:r>
          </w:p>
        </w:tc>
        <w:tc>
          <w:tcPr/>
          <w:p>
            <w:pPr>
              <w:pStyle w:val="Compact"/>
            </w:pPr>
            <w:r>
              <w:t xml:space="preserve">4.5%</w:t>
            </w:r>
          </w:p>
        </w:tc>
      </w:tr>
    </w:tbl>
    <w:p>
      <w:pPr>
        <w:pStyle w:val="BlockText"/>
      </w:pPr>
      <w:r>
        <w:rPr>
          <w:b/>
          <w:bCs/>
        </w:rPr>
        <w:t xml:space="preserve">On the figure</w:t>
      </w:r>
      <w:r>
        <w:rPr>
          <w:b/>
          <w:bCs/>
        </w:rPr>
        <w:t xml:space="preserve"> </w:t>
      </w:r>
      <w:r>
        <w:rPr>
          <w:b/>
          <w:bCs/>
        </w:rPr>
        <w:t xml:space="preserve">“22%”</w:t>
      </w:r>
      <w:r>
        <w:t xml:space="preserve">: Article 32 of the Law expresses rates</w:t>
      </w:r>
      <w:r>
        <w:t xml:space="preserve"> </w:t>
      </w:r>
      <w:r>
        <w:rPr>
          <w:b/>
          <w:bCs/>
        </w:rPr>
        <w:t xml:space="preserve">by fund</w:t>
      </w:r>
      <w:r>
        <w:t xml:space="preserve"> </w:t>
      </w:r>
      <w:r>
        <w:t xml:space="preserve">(3% to the</w:t>
      </w:r>
      <w:r>
        <w:t xml:space="preserve"> </w:t>
      </w:r>
      <w:r>
        <w:t xml:space="preserve">sickness and maternity fund, 22% to the retirement and survivorship fund). The</w:t>
      </w:r>
      <w:r>
        <w:t xml:space="preserve"> </w:t>
      </w:r>
      <w:r>
        <w:rPr>
          <w:b/>
          <w:bCs/>
        </w:rPr>
        <w:t xml:space="preserve">22% is the</w:t>
      </w:r>
      <w:r>
        <w:rPr>
          <w:b/>
          <w:bCs/>
        </w:rPr>
        <w:t xml:space="preserve"> </w:t>
      </w:r>
      <w:r>
        <w:rPr>
          <w:b/>
          <w:bCs/>
        </w:rPr>
        <w:t xml:space="preserve">sum of the employer’s 14% and the employee’s 8%</w:t>
      </w:r>
      <w:r>
        <w:t xml:space="preserve">, not the employer’s own burden. The</w:t>
      </w:r>
      <w:r>
        <w:t xml:space="preserve"> </w:t>
      </w:r>
      <w:r>
        <w:t xml:space="preserve">source presented the fund view first and the split by contributor afterwards — both</w:t>
      </w:r>
      <w:r>
        <w:t xml:space="preserve"> </w:t>
      </w:r>
      <w:r>
        <w:t xml:space="preserve">correct, but</w:t>
      </w:r>
      <w:r>
        <w:t xml:space="preserve"> </w:t>
      </w:r>
      <w:r>
        <w:rPr>
          <w:b/>
          <w:bCs/>
        </w:rPr>
        <w:t xml:space="preserve">read in that order it is easy to mistake 22% for an employer obligation</w:t>
      </w:r>
      <w:r>
        <w:t xml:space="preserve">.</w:t>
      </w:r>
      <w:r>
        <w:t xml:space="preserve"> </w:t>
      </w:r>
      <w:r>
        <w:t xml:space="preserve">This edition leads with the split by contributor and relegates the fund view to a note.</w:t>
      </w:r>
    </w:p>
    <w:bookmarkEnd w:id="15"/>
    <w:bookmarkStart w:id="16" w:name="the-contribution-base"/>
    <w:p>
      <w:pPr>
        <w:pStyle w:val="Heading3"/>
      </w:pPr>
      <w:r>
        <w:t xml:space="preserve">3. The contribution base</w:t>
      </w:r>
    </w:p>
    <w:p>
      <w:pPr>
        <w:pStyle w:val="FirstParagraph"/>
      </w:pPr>
      <w:r>
        <w:t xml:space="preserve">Under Article 31.1 of the Law on Social Insurance 2024:</w:t>
      </w:r>
    </w:p>
    <w:p>
      <w:pPr>
        <w:pStyle w:val="Compact"/>
        <w:numPr>
          <w:ilvl w:val="0"/>
          <w:numId w:val="1007"/>
        </w:numPr>
      </w:pPr>
      <w:r>
        <w:t xml:space="preserve">For employees under a wage regime</w:t>
      </w:r>
      <w:r>
        <w:t xml:space="preserve"> </w:t>
      </w:r>
      <w:r>
        <w:rPr>
          <w:b/>
          <w:bCs/>
        </w:rPr>
        <w:t xml:space="preserve">determined by the employer</w:t>
      </w:r>
      <w:r>
        <w:t xml:space="preserve">, the base is the</w:t>
      </w:r>
      <w:r>
        <w:t xml:space="preserve"> </w:t>
      </w:r>
      <w:r>
        <w:rPr>
          <w:b/>
          <w:bCs/>
        </w:rPr>
        <w:t xml:space="preserve">monthly wage</w:t>
      </w:r>
      <w:r>
        <w:t xml:space="preserve">, comprising the wage for the job or position, wage allowances, and other</w:t>
      </w:r>
      <w:r>
        <w:t xml:space="preserve"> </w:t>
      </w:r>
      <w:r>
        <w:t xml:space="preserve">supplementary amounts paid</w:t>
      </w:r>
      <w:r>
        <w:t xml:space="preserve"> </w:t>
      </w:r>
      <w:r>
        <w:rPr>
          <w:b/>
          <w:bCs/>
        </w:rPr>
        <w:t xml:space="preserve">regularly and stably</w:t>
      </w:r>
      <w:r>
        <w:t xml:space="preserve"> </w:t>
      </w:r>
      <w:r>
        <w:t xml:space="preserve">in each pay period.</w:t>
      </w:r>
    </w:p>
    <w:p>
      <w:pPr>
        <w:pStyle w:val="Compact"/>
        <w:numPr>
          <w:ilvl w:val="0"/>
          <w:numId w:val="1007"/>
        </w:numPr>
      </w:pPr>
      <w:r>
        <w:t xml:space="preserve">An employee who continues to receive a monthly wage during a work stoppage at or above</w:t>
      </w:r>
      <w:r>
        <w:t xml:space="preserve"> </w:t>
      </w:r>
      <w:r>
        <w:t xml:space="preserve">the minimum base contributes on the wage actually received during that period.</w:t>
      </w:r>
    </w:p>
    <w:p>
      <w:pPr>
        <w:pStyle w:val="Compact"/>
        <w:numPr>
          <w:ilvl w:val="0"/>
          <w:numId w:val="1007"/>
        </w:numPr>
      </w:pPr>
      <w:r>
        <w:t xml:space="preserve">For the subjects in Article 2.1(đ), (e) and (k), the base is prescribed by the Government.</w:t>
      </w:r>
    </w:p>
    <w:p>
      <w:pPr>
        <w:pStyle w:val="Compact"/>
        <w:numPr>
          <w:ilvl w:val="0"/>
          <w:numId w:val="1007"/>
        </w:numPr>
      </w:pPr>
      <w:r>
        <w:t xml:space="preserve">For the subjects in Article 2.1(g), (h), (m) and (n), the base may be self-selected, at no</w:t>
      </w:r>
      <w:r>
        <w:t xml:space="preserve"> </w:t>
      </w:r>
      <w:r>
        <w:t xml:space="preserve">less than the reference level and no more than 20 times it at the time of contribution;</w:t>
      </w:r>
      <w:r>
        <w:t xml:space="preserve"> </w:t>
      </w:r>
      <w:r>
        <w:t xml:space="preserve">after 12 months on a selected base, it may be reselected.</w:t>
      </w:r>
    </w:p>
    <w:p>
      <w:pPr>
        <w:pStyle w:val="FirstParagraph"/>
      </w:pPr>
      <w:r>
        <w:rPr>
          <w:b/>
          <w:bCs/>
        </w:rPr>
        <w:t xml:space="preserve">Floor and ceiling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Period</w:t>
            </w:r>
          </w:p>
        </w:tc>
        <w:tc>
          <w:tcPr/>
          <w:p>
            <w:pPr>
              <w:pStyle w:val="Compact"/>
            </w:pPr>
            <w:r>
              <w:t xml:space="preserve">Reference level (= base salary)</w:t>
            </w:r>
          </w:p>
        </w:tc>
        <w:tc>
          <w:tcPr/>
          <w:p>
            <w:pPr>
              <w:pStyle w:val="Compact"/>
            </w:pPr>
            <w:r>
              <w:t xml:space="preserve">Minimum base</w:t>
            </w:r>
          </w:p>
        </w:tc>
        <w:tc>
          <w:tcPr/>
          <w:p>
            <w:pPr>
              <w:pStyle w:val="Compact"/>
            </w:pPr>
            <w:r>
              <w:t xml:space="preserve">Ceiling (20×)</w:t>
            </w:r>
          </w:p>
        </w:tc>
      </w:tr>
      <w:tr>
        <w:tc>
          <w:tcPr/>
          <w:p>
            <w:pPr>
              <w:pStyle w:val="Compact"/>
            </w:pPr>
            <w:r>
              <w:t xml:space="preserve">Until</w:t>
            </w:r>
            <w:r>
              <w:t xml:space="preserve"> </w:t>
            </w:r>
            <w:r>
              <w:rPr>
                <w:b/>
                <w:bCs/>
              </w:rPr>
              <w:t xml:space="preserve">30 June 2026</w:t>
            </w:r>
          </w:p>
        </w:tc>
        <w:tc>
          <w:tcPr/>
          <w:p>
            <w:pPr>
              <w:pStyle w:val="Compact"/>
            </w:pPr>
            <w:r>
              <w:t xml:space="preserve">VND 2,340,000/month</w:t>
            </w:r>
          </w:p>
        </w:tc>
        <w:tc>
          <w:tcPr/>
          <w:p>
            <w:pPr>
              <w:pStyle w:val="Compact"/>
            </w:pPr>
            <w:r>
              <w:t xml:space="preserve">2,340,000</w:t>
            </w:r>
          </w:p>
        </w:tc>
        <w:tc>
          <w:tcPr/>
          <w:p>
            <w:pPr>
              <w:pStyle w:val="Compact"/>
            </w:pPr>
            <w:r>
              <w:t xml:space="preserve">46,800,000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From</w:t>
            </w:r>
            <w:r>
              <w:t xml:space="preserve"> </w:t>
            </w:r>
            <w:r>
              <w:rPr>
                <w:b/>
                <w:bCs/>
              </w:rPr>
              <w:t xml:space="preserve">1 July 2026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VND 2,530,000/month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2,530,000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50,600,000</w:t>
            </w:r>
          </w:p>
        </w:tc>
      </w:tr>
    </w:tbl>
    <w:p>
      <w:pPr>
        <w:pStyle w:val="BlockText"/>
      </w:pPr>
      <w:r>
        <w:rPr>
          <w:b/>
          <w:bCs/>
        </w:rPr>
        <w:t xml:space="preserve">This is the single most important correction in this edition.</w:t>
      </w:r>
      <w:r>
        <w:t xml:space="preserve"> </w:t>
      </w:r>
      <w:r>
        <w:t xml:space="preserve">The source stated that</w:t>
      </w:r>
      <w:r>
        <w:t xml:space="preserve"> </w:t>
      </w:r>
      <w:r>
        <w:t xml:space="preserve">“under Decree No. 73/2024/NĐ-CP the current base salary is</w:t>
      </w:r>
      <w:r>
        <w:t xml:space="preserve"> </w:t>
      </w:r>
      <w:r>
        <w:rPr>
          <w:b/>
          <w:bCs/>
        </w:rPr>
        <w:t xml:space="preserve">VND 2,340,000</w:t>
      </w:r>
      <w:r>
        <w:t xml:space="preserve"> </w:t>
      </w:r>
      <w:r>
        <w:t xml:space="preserve">per month”</w:t>
      </w:r>
      <w:r>
        <w:t xml:space="preserve"> </w:t>
      </w:r>
      <w:r>
        <w:t xml:space="preserve">—</w:t>
      </w:r>
      <w:r>
        <w:t xml:space="preserve"> </w:t>
      </w:r>
      <w:r>
        <w:t xml:space="preserve">a figure that</w:t>
      </w:r>
      <w:r>
        <w:t xml:space="preserve"> </w:t>
      </w:r>
      <w:r>
        <w:rPr>
          <w:b/>
          <w:bCs/>
        </w:rPr>
        <w:t xml:space="preserve">applied only until 30 June 2026</w:t>
      </w:r>
      <w:r>
        <w:t xml:space="preserve">. From 1 July 2026 it is</w:t>
      </w:r>
      <w:r>
        <w:t xml:space="preserve"> </w:t>
      </w:r>
      <w:r>
        <w:rPr>
          <w:b/>
          <w:bCs/>
        </w:rPr>
        <w:t xml:space="preserve">VND 2,530,000</w:t>
      </w:r>
      <w:r>
        <w:t xml:space="preserve">,</w:t>
      </w:r>
      <w:r>
        <w:t xml:space="preserve"> </w:t>
      </w:r>
      <w:r>
        <w:t xml:space="preserve">and the contribution ceiling rises to</w:t>
      </w:r>
      <w:r>
        <w:t xml:space="preserve"> </w:t>
      </w:r>
      <w:r>
        <w:rPr>
          <w:b/>
          <w:bCs/>
        </w:rPr>
        <w:t xml:space="preserve">VND 50.6 million per month</w:t>
      </w:r>
      <w:r>
        <w:t xml:space="preserve">. Using the old figure</w:t>
      </w:r>
      <w:r>
        <w:t xml:space="preserve"> </w:t>
      </w:r>
      <w:r>
        <w:rPr>
          <w:b/>
          <w:bCs/>
        </w:rPr>
        <w:t xml:space="preserve">understates the ceiling by about 8%</w:t>
      </w:r>
      <w:r>
        <w:t xml:space="preserve">. Both VND 2,530,000 and VND 50,600,000 are confirmed</w:t>
      </w:r>
      <w:r>
        <w:t xml:space="preserve"> </w:t>
      </w:r>
      <w:r>
        <w:t xml:space="preserve">by the</w:t>
      </w:r>
      <w:r>
        <w:t xml:space="preserve"> </w:t>
      </w:r>
      <w:r>
        <w:rPr>
          <w:b/>
          <w:bCs/>
        </w:rPr>
        <w:t xml:space="preserve">Vietnam Social Security portal (baohiemxahoi.gov.vn)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The mechanism</w:t>
      </w:r>
      <w:r>
        <w:t xml:space="preserve">: under Article 141.13 of the Law, while the State has not abolished the</w:t>
      </w:r>
      <w:r>
        <w:t xml:space="preserve"> </w:t>
      </w:r>
      <w:r>
        <w:t xml:space="preserve">“base salary”</w:t>
      </w:r>
      <w:r>
        <w:t xml:space="preserve">, the</w:t>
      </w:r>
      <w:r>
        <w:t xml:space="preserve"> </w:t>
      </w:r>
      <w:r>
        <w:t xml:space="preserve">“reference level”</w:t>
      </w:r>
      <w:r>
        <w:t xml:space="preserve"> </w:t>
      </w:r>
      <w:r>
        <w:t xml:space="preserve">equals it; if the base salary is abolished, the</w:t>
      </w:r>
      <w:r>
        <w:t xml:space="preserve"> </w:t>
      </w:r>
      <w:r>
        <w:t xml:space="preserve">reference level may not fall below the former figure. As at the verification date the</w:t>
      </w:r>
      <w:r>
        <w:t xml:space="preserve"> </w:t>
      </w:r>
      <w:r>
        <w:t xml:space="preserve">competent authority has issued no guidance abolishing or adjusting the base salary.</w:t>
      </w:r>
    </w:p>
    <w:p>
      <w:pPr>
        <w:pStyle w:val="BlockText"/>
      </w:pPr>
      <w:r>
        <w:rPr>
          <w:b/>
          <w:bCs/>
        </w:rPr>
        <w:t xml:space="preserve">〔Unconfirmed〕</w:t>
      </w:r>
      <w:r>
        <w:t xml:space="preserve"> </w:t>
      </w:r>
      <w:r>
        <w:t xml:space="preserve">the number of the instrument setting VND 2,530,000. The official Social</w:t>
      </w:r>
      <w:r>
        <w:t xml:space="preserve"> </w:t>
      </w:r>
      <w:r>
        <w:t xml:space="preserve">Security article cites only the Law on Social Insurance 2024 and gives no decree number;</w:t>
      </w:r>
      <w:r>
        <w:t xml:space="preserve"> </w:t>
      </w:r>
      <w:r>
        <w:t xml:space="preserve">this edition therefore states the amount and effective date without a citation number.</w:t>
      </w:r>
    </w:p>
    <w:p>
      <w:pPr>
        <w:pStyle w:val="FirstParagraph"/>
      </w:pPr>
      <w:r>
        <w:rPr>
          <w:b/>
          <w:bCs/>
        </w:rPr>
        <w:t xml:space="preserve">A second floor</w:t>
      </w:r>
      <w:r>
        <w:t xml:space="preserve">: under point 2.6 of Article 6.2 of the Procedure issued with Decision</w:t>
      </w:r>
      <w:r>
        <w:t xml:space="preserve"> </w:t>
      </w:r>
      <w:r>
        <w:t xml:space="preserve">No. 595/QĐ-BHXH, the monthly wage for compulsory social insurance</w:t>
      </w:r>
      <w:r>
        <w:t xml:space="preserve"> </w:t>
      </w:r>
      <w:r>
        <w:rPr>
          <w:b/>
          <w:bCs/>
        </w:rPr>
        <w:t xml:space="preserve">may not be lower than the</w:t>
      </w:r>
      <w:r>
        <w:rPr>
          <w:b/>
          <w:bCs/>
        </w:rPr>
        <w:t xml:space="preserve"> </w:t>
      </w:r>
      <w:r>
        <w:rPr>
          <w:b/>
          <w:bCs/>
        </w:rPr>
        <w:t xml:space="preserve">regional minimum wage</w:t>
      </w:r>
      <w:r>
        <w:t xml:space="preserve"> </w:t>
      </w:r>
      <w:r>
        <w:t xml:space="preserve">at the time of contribution (for the simplest work under normal</w:t>
      </w:r>
      <w:r>
        <w:t xml:space="preserve"> </w:t>
      </w:r>
      <w:r>
        <w:t xml:space="preserve">working conditions).</w:t>
      </w:r>
    </w:p>
    <w:p>
      <w:pPr>
        <w:pStyle w:val="BlockText"/>
      </w:pPr>
      <w:r>
        <w:t xml:space="preserve">Accordingly, from</w:t>
      </w:r>
      <w:r>
        <w:t xml:space="preserve"> </w:t>
      </w:r>
      <w:r>
        <w:rPr>
          <w:b/>
          <w:bCs/>
        </w:rPr>
        <w:t xml:space="preserve">1 January 2026</w:t>
      </w:r>
      <w:r>
        <w:t xml:space="preserve"> </w:t>
      </w:r>
      <w:r>
        <w:t xml:space="preserve">(when the new regional minimum wages took effect) the</w:t>
      </w:r>
      <w:r>
        <w:t xml:space="preserve"> </w:t>
      </w:r>
      <w:r>
        <w:t xml:space="preserve">wage used as the contribution base must be raised correspondingly.</w:t>
      </w:r>
      <w:r>
        <w:t xml:space="preserve"> </w:t>
      </w:r>
      <w:r>
        <w:rPr>
          <w:b/>
          <w:bCs/>
        </w:rPr>
        <w:t xml:space="preserve">2026 regional minimum wages</w:t>
      </w:r>
      <w:r>
        <w:t xml:space="preserve"> </w:t>
      </w:r>
      <w:r>
        <w:t xml:space="preserve">(Decree No. 293/2025/NĐ-CP): Region I VND 5,310,000;</w:t>
      </w:r>
      <w:r>
        <w:t xml:space="preserve"> </w:t>
      </w:r>
      <w:r>
        <w:t xml:space="preserve">Region II 4,730,000; Region III 4,140,000; Region IV 3,700,000 per month.</w:t>
      </w:r>
    </w:p>
    <w:bookmarkEnd w:id="16"/>
    <w:bookmarkStart w:id="17" w:name="procedure"/>
    <w:p>
      <w:pPr>
        <w:pStyle w:val="Heading3"/>
      </w:pPr>
      <w:r>
        <w:t xml:space="preserve">4. Procedure</w:t>
      </w:r>
    </w:p>
    <w:p>
      <w:pPr>
        <w:pStyle w:val="FirstParagraph"/>
      </w:pPr>
      <w:r>
        <w:rPr>
          <w:b/>
          <w:bCs/>
        </w:rPr>
        <w:t xml:space="preserve">Step 1: Obtain the employer’s social insurance unit code</w:t>
      </w:r>
    </w:p>
    <w:p>
      <w:pPr>
        <w:pStyle w:val="Compact"/>
        <w:numPr>
          <w:ilvl w:val="0"/>
          <w:numId w:val="1008"/>
        </w:numPr>
      </w:pPr>
      <w:r>
        <w:t xml:space="preserve">Documents: certified copy of the Enterprise Registration Certificate; declaration of</w:t>
      </w:r>
      <w:r>
        <w:t xml:space="preserve"> </w:t>
      </w:r>
      <w:r>
        <w:t xml:space="preserve">participation on form</w:t>
      </w:r>
      <w:r>
        <w:t xml:space="preserve"> </w:t>
      </w:r>
      <w:r>
        <w:rPr>
          <w:b/>
          <w:bCs/>
        </w:rPr>
        <w:t xml:space="preserve">TK3-TS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File with the district social insurance office where the head office is located, either:</w:t>
      </w:r>
    </w:p>
    <w:p>
      <w:pPr>
        <w:pStyle w:val="Compact"/>
        <w:numPr>
          <w:ilvl w:val="1"/>
          <w:numId w:val="1009"/>
        </w:numPr>
      </w:pPr>
      <w:r>
        <w:t xml:space="preserve">by submitting hard copies in person; or</w:t>
      </w:r>
    </w:p>
    <w:p>
      <w:pPr>
        <w:pStyle w:val="Compact"/>
        <w:numPr>
          <w:ilvl w:val="1"/>
          <w:numId w:val="1009"/>
        </w:numPr>
      </w:pPr>
      <w:r>
        <w:t xml:space="preserve">online through electronic social insurance declaration software (authenticated with the</w:t>
      </w:r>
      <w:r>
        <w:t xml:space="preserve"> </w:t>
      </w:r>
      <w:r>
        <w:t xml:space="preserve">company’s digital signature), or via the Vietnam Social Security portal.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Note</w:t>
      </w:r>
      <w:r>
        <w:t xml:space="preserve">: some local offices still require hard copies after online registration.</w:t>
      </w:r>
    </w:p>
    <w:p>
      <w:pPr>
        <w:pStyle w:val="Compact"/>
        <w:numPr>
          <w:ilvl w:val="0"/>
          <w:numId w:val="1008"/>
        </w:numPr>
      </w:pPr>
      <w:r>
        <w:t xml:space="preserve">The office verifies and issues the unit code within</w:t>
      </w:r>
      <w:r>
        <w:t xml:space="preserve"> </w:t>
      </w:r>
      <w:r>
        <w:rPr>
          <w:b/>
          <w:bCs/>
        </w:rPr>
        <w:t xml:space="preserve">up to 7 working days</w:t>
      </w:r>
      <w:r>
        <w:t xml:space="preserve">; in practice</w:t>
      </w:r>
      <w:r>
        <w:t xml:space="preserve"> </w:t>
      </w:r>
      <w:r>
        <w:t xml:space="preserve">usually 1–2 working days.</w:t>
      </w:r>
    </w:p>
    <w:p>
      <w:pPr>
        <w:pStyle w:val="FirstParagraph"/>
      </w:pPr>
      <w:r>
        <w:rPr>
          <w:b/>
          <w:bCs/>
        </w:rPr>
        <w:t xml:space="preserve">Step 2: Declare and register employee additions</w:t>
      </w:r>
    </w:p>
    <w:p>
      <w:pPr>
        <w:pStyle w:val="BodyText"/>
      </w:pPr>
      <w:r>
        <w:t xml:space="preserve">Filing through the Social Insurance public service portal:</w:t>
      </w:r>
    </w:p>
    <w:p>
      <w:pPr>
        <w:pStyle w:val="Compact"/>
        <w:numPr>
          <w:ilvl w:val="0"/>
          <w:numId w:val="1010"/>
        </w:numPr>
      </w:pPr>
      <w:r>
        <w:t xml:space="preserve">Log in with the account issued; before filing, complete the</w:t>
      </w:r>
      <w:r>
        <w:t xml:space="preserve"> </w:t>
      </w:r>
      <w:r>
        <w:t xml:space="preserve">“Labour management”</w:t>
      </w:r>
      <w:r>
        <w:t xml:space="preserve"> </w:t>
      </w:r>
      <w:r>
        <w:t xml:space="preserve">and</w:t>
      </w:r>
      <w:r>
        <w:t xml:space="preserve"> </w:t>
      </w:r>
      <w:r>
        <w:t xml:space="preserve">“Department management”</w:t>
      </w:r>
      <w:r>
        <w:t xml:space="preserve"> </w:t>
      </w:r>
      <w:r>
        <w:t xml:space="preserve">modules;</w:t>
      </w:r>
    </w:p>
    <w:p>
      <w:pPr>
        <w:pStyle w:val="Compact"/>
        <w:numPr>
          <w:ilvl w:val="0"/>
          <w:numId w:val="1010"/>
        </w:numPr>
      </w:pPr>
      <w:r>
        <w:t xml:space="preserve">Choose</w:t>
      </w:r>
      <w:r>
        <w:t xml:space="preserve"> </w:t>
      </w:r>
      <w:r>
        <w:t xml:space="preserve">“File dossier”</w:t>
      </w:r>
      <w:r>
        <w:t xml:space="preserve"> </w:t>
      </w:r>
      <w:r>
        <w:t xml:space="preserve">→ dossier</w:t>
      </w:r>
      <w:r>
        <w:t xml:space="preserve"> </w:t>
      </w:r>
      <w:r>
        <w:rPr>
          <w:b/>
          <w:bCs/>
        </w:rPr>
        <w:t xml:space="preserve">600</w:t>
      </w:r>
      <w:r>
        <w:t xml:space="preserve"> </w:t>
      </w:r>
      <w:r>
        <w:t xml:space="preserve">→ select the period → declare employees on</w:t>
      </w:r>
      <w:r>
        <w:t xml:space="preserve"> </w:t>
      </w:r>
      <w:r>
        <w:t xml:space="preserve">signed labour contracts using form</w:t>
      </w:r>
      <w:r>
        <w:t xml:space="preserve"> </w:t>
      </w:r>
      <w:r>
        <w:rPr>
          <w:b/>
          <w:bCs/>
        </w:rPr>
        <w:t xml:space="preserve">D02-LT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Enter employee details (citizen ID number, residence confirmation / household book /</w:t>
      </w:r>
      <w:r>
        <w:t xml:space="preserve"> </w:t>
      </w:r>
      <w:r>
        <w:t xml:space="preserve">social insurance number, registered primary healthcare facility), together with the</w:t>
      </w:r>
      <w:r>
        <w:t xml:space="preserve"> </w:t>
      </w:r>
      <w:r>
        <w:t xml:space="preserve">contribution wage, allowances, position and contract term;</w:t>
      </w:r>
    </w:p>
    <w:p>
      <w:pPr>
        <w:pStyle w:val="Compact"/>
        <w:numPr>
          <w:ilvl w:val="0"/>
          <w:numId w:val="1010"/>
        </w:numPr>
      </w:pPr>
      <w:r>
        <w:t xml:space="preserve">Check and submit with a digital signature.</w:t>
      </w:r>
    </w:p>
    <w:p>
      <w:pPr>
        <w:pStyle w:val="FirstParagraph"/>
      </w:pPr>
      <w:r>
        <w:rPr>
          <w:b/>
          <w:bCs/>
        </w:rPr>
        <w:t xml:space="preserve">Processing time</w:t>
      </w:r>
      <w:r>
        <w:t xml:space="preserve">: no more than</w:t>
      </w:r>
      <w:r>
        <w:t xml:space="preserve"> </w:t>
      </w:r>
      <w:r>
        <w:rPr>
          <w:b/>
          <w:bCs/>
        </w:rPr>
        <w:t xml:space="preserve">10 working days</w:t>
      </w:r>
      <w:r>
        <w:t xml:space="preserve"> </w:t>
      </w:r>
      <w:r>
        <w:t xml:space="preserve">from receipt of a complete and valid dossier.</w:t>
      </w:r>
    </w:p>
    <w:p>
      <w:pPr>
        <w:pStyle w:val="BodyText"/>
      </w:pPr>
      <w:r>
        <w:rPr>
          <w:b/>
          <w:bCs/>
        </w:rPr>
        <w:t xml:space="preserve">Step 3: Monthly payment</w:t>
      </w:r>
    </w:p>
    <w:p>
      <w:pPr>
        <w:pStyle w:val="BodyText"/>
      </w:pPr>
      <w:r>
        <w:t xml:space="preserve">Each month the enterprise pays by bank transfer against form</w:t>
      </w:r>
      <w:r>
        <w:t xml:space="preserve"> </w:t>
      </w:r>
      <w:r>
        <w:rPr>
          <w:b/>
          <w:bCs/>
        </w:rPr>
        <w:t xml:space="preserve">C12</w:t>
      </w:r>
      <w:r>
        <w:t xml:space="preserve"> </w:t>
      </w:r>
      <w:r>
        <w:t xml:space="preserve">issued by the social</w:t>
      </w:r>
      <w:r>
        <w:t xml:space="preserve"> </w:t>
      </w:r>
      <w:r>
        <w:t xml:space="preserve">insurance office.</w:t>
      </w:r>
    </w:p>
    <w:p>
      <w:r>
        <w:pict>
          <v:rect style="width:0;height:1.5pt" o:hralign="center" o:hrstd="t" o:hr="t"/>
        </w:pict>
      </w:r>
    </w:p>
    <w:bookmarkEnd w:id="17"/>
    <w:bookmarkEnd w:id="18"/>
    <w:bookmarkStart w:id="25" w:name="part-iii-personal-income-tax-withholding"/>
    <w:p>
      <w:pPr>
        <w:pStyle w:val="Heading2"/>
      </w:pPr>
      <w:r>
        <w:t xml:space="preserve">PART III: PERSONAL INCOME TAX WITHHOLDING</w:t>
      </w:r>
    </w:p>
    <w:bookmarkStart w:id="19" w:name="governing-law"/>
    <w:p>
      <w:pPr>
        <w:pStyle w:val="Heading3"/>
      </w:pPr>
      <w:r>
        <w:t xml:space="preserve">1. Governing law</w:t>
      </w:r>
    </w:p>
    <w:p>
      <w:pPr>
        <w:pStyle w:val="FirstParagraph"/>
      </w:pPr>
      <w:r>
        <w:rPr>
          <w:b/>
          <w:bCs/>
        </w:rPr>
        <w:t xml:space="preserve">Law on Personal Income Tax No. 109/2025/QH15</w:t>
      </w:r>
      <w:r>
        <w:t xml:space="preserve">, passed by the National Assembly on</w:t>
      </w:r>
      <w:r>
        <w:t xml:space="preserve"> </w:t>
      </w:r>
      <w:r>
        <w:t xml:space="preserve">10 December 2025 (four chapters, 29 articles),</w:t>
      </w:r>
      <w:r>
        <w:t xml:space="preserve"> </w:t>
      </w:r>
      <w:r>
        <w:rPr>
          <w:b/>
          <w:bCs/>
        </w:rPr>
        <w:t xml:space="preserve">effective 1 July 2026</w:t>
      </w:r>
      <w:r>
        <w:t xml:space="preserve">; its provisions on</w:t>
      </w:r>
      <w:r>
        <w:t xml:space="preserve"> </w:t>
      </w:r>
      <w:r>
        <w:t xml:space="preserve">resident individuals’ business income and employment income</w:t>
      </w:r>
      <w:r>
        <w:t xml:space="preserve"> </w:t>
      </w:r>
      <w:r>
        <w:rPr>
          <w:b/>
          <w:bCs/>
        </w:rPr>
        <w:t xml:space="preserve">apply from the 2026 tax year</w:t>
      </w:r>
      <w:r>
        <w:t xml:space="preserve">.</w:t>
      </w:r>
    </w:p>
    <w:bookmarkEnd w:id="19"/>
    <w:bookmarkStart w:id="20" w:name="taxpayer-status"/>
    <w:p>
      <w:pPr>
        <w:pStyle w:val="Heading3"/>
      </w:pPr>
      <w:r>
        <w:t xml:space="preserve">2. Taxpayer status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Resident individual</w:t>
      </w:r>
      <w:r>
        <w:t xml:space="preserve">: meeting either condition —</w:t>
      </w:r>
    </w:p>
    <w:p>
      <w:pPr>
        <w:pStyle w:val="Compact"/>
        <w:numPr>
          <w:ilvl w:val="1"/>
          <w:numId w:val="1012"/>
        </w:numPr>
      </w:pPr>
      <w:r>
        <w:t xml:space="preserve">present in Vietnam for</w:t>
      </w:r>
      <w:r>
        <w:t xml:space="preserve"> </w:t>
      </w:r>
      <w:r>
        <w:rPr>
          <w:b/>
          <w:bCs/>
        </w:rPr>
        <w:t xml:space="preserve">183 days or more</w:t>
      </w:r>
      <w:r>
        <w:t xml:space="preserve"> </w:t>
      </w:r>
      <w:r>
        <w:t xml:space="preserve">within a calendar year from the date of</w:t>
      </w:r>
      <w:r>
        <w:t xml:space="preserve"> </w:t>
      </w:r>
      <w:r>
        <w:t xml:space="preserve">first entry, or within 12 consecutive months;</w:t>
      </w:r>
    </w:p>
    <w:p>
      <w:pPr>
        <w:pStyle w:val="Compact"/>
        <w:numPr>
          <w:ilvl w:val="1"/>
          <w:numId w:val="1012"/>
        </w:numPr>
      </w:pPr>
      <w:r>
        <w:t xml:space="preserve">having a habitual residence in Vietnam (a registered permanent address, or a residence</w:t>
      </w:r>
      <w:r>
        <w:t xml:space="preserve"> </w:t>
      </w:r>
      <w:r>
        <w:t xml:space="preserve">under a lease of definite term).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Non-resident individual</w:t>
      </w:r>
      <w:r>
        <w:t xml:space="preserve">: not meeting those conditions.</w:t>
      </w:r>
    </w:p>
    <w:p>
      <w:pPr>
        <w:pStyle w:val="BlockText"/>
      </w:pPr>
      <w:r>
        <w:rPr>
          <w:b/>
          <w:bCs/>
        </w:rPr>
        <w:t xml:space="preserve">〔Recorded here with a reservation〕</w:t>
      </w:r>
      <w:r>
        <w:t xml:space="preserve"> </w:t>
      </w:r>
      <w:r>
        <w:t xml:space="preserve">These criteria are taken from the source document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have not been independently verified against the primary legal text</w:t>
      </w:r>
      <w:r>
        <w:t xml:space="preserve">. Residence</w:t>
      </w:r>
      <w:r>
        <w:t xml:space="preserve"> </w:t>
      </w:r>
      <w:r>
        <w:t xml:space="preserve">status decides directly whether the five-band progressive table or the flat 20% rate</w:t>
      </w:r>
      <w:r>
        <w:t xml:space="preserve"> </w:t>
      </w:r>
      <w:r>
        <w:t xml:space="preserve">applies, which matters a great deal; for any particular case rely on confirmation from the</w:t>
      </w:r>
      <w:r>
        <w:t xml:space="preserve"> </w:t>
      </w:r>
      <w:r>
        <w:t xml:space="preserve">tax authority or a tax practitioner.</w:t>
      </w:r>
    </w:p>
    <w:bookmarkEnd w:id="20"/>
    <w:bookmarkStart w:id="21" w:name="X87882fa1c5f9d160cf8abb2cf6cc0d29015e9b8"/>
    <w:p>
      <w:pPr>
        <w:pStyle w:val="Heading3"/>
      </w:pPr>
      <w:r>
        <w:t xml:space="preserve">3. Residents on labour contracts of three months or more</w:t>
      </w:r>
    </w:p>
    <w:p>
      <w:pPr>
        <w:pStyle w:val="FirstParagraph"/>
      </w:pPr>
      <w:r>
        <w:t xml:space="preserve">Withholding is on the</w:t>
      </w:r>
      <w:r>
        <w:t xml:space="preserve"> </w:t>
      </w:r>
      <w:r>
        <w:rPr>
          <w:b/>
          <w:bCs/>
        </w:rPr>
        <w:t xml:space="preserve">progressive scale</w:t>
      </w:r>
      <w:r>
        <w:t xml:space="preserve"> </w:t>
      </w:r>
      <w:r>
        <w:t xml:space="preserve">(including where the individual works for several</w:t>
      </w:r>
      <w:r>
        <w:t xml:space="preserve"> </w:t>
      </w:r>
      <w:r>
        <w:t xml:space="preserve">employers, or where the contract ends early).</w:t>
      </w:r>
    </w:p>
    <w:p>
      <w:pPr>
        <w:pStyle w:val="BodyText"/>
      </w:pPr>
      <w:r>
        <w:rPr>
          <w:b/>
          <w:bCs/>
        </w:rPr>
        <w:t xml:space="preserve">PIT payable = taxable income × rate</w:t>
      </w:r>
    </w:p>
    <w:p>
      <w:pPr>
        <w:pStyle w:val="BodyText"/>
      </w:pPr>
      <w:r>
        <w:rPr>
          <w:b/>
          <w:bCs/>
        </w:rPr>
        <w:t xml:space="preserve">Taxable income = assessable income − deductions</w:t>
      </w:r>
      <w:r>
        <w:t xml:space="preserve">, the deductions being:</w:t>
      </w:r>
    </w:p>
    <w:p>
      <w:pPr>
        <w:pStyle w:val="Compact"/>
        <w:numPr>
          <w:ilvl w:val="0"/>
          <w:numId w:val="1013"/>
        </w:numPr>
      </w:pPr>
      <w:r>
        <w:t xml:space="preserve">family circumstance deductions;</w:t>
      </w:r>
    </w:p>
    <w:p>
      <w:pPr>
        <w:pStyle w:val="Compact"/>
        <w:numPr>
          <w:ilvl w:val="0"/>
          <w:numId w:val="1013"/>
        </w:numPr>
      </w:pPr>
      <w:r>
        <w:t xml:space="preserve">insurance contributions and voluntary supplementary pension contributions;</w:t>
      </w:r>
    </w:p>
    <w:p>
      <w:pPr>
        <w:pStyle w:val="Compact"/>
        <w:numPr>
          <w:ilvl w:val="0"/>
          <w:numId w:val="1013"/>
        </w:numPr>
      </w:pPr>
      <w:r>
        <w:t xml:space="preserve">qualifying charitable, humanitarian and educational donations.</w:t>
      </w:r>
    </w:p>
    <w:p>
      <w:pPr>
        <w:pStyle w:val="FirstParagraph"/>
      </w:pPr>
      <w:r>
        <w:rPr>
          <w:b/>
          <w:bCs/>
        </w:rPr>
        <w:t xml:space="preserve">Family circumstance deductions</w:t>
      </w:r>
      <w:r>
        <w:t xml:space="preserve"> </w:t>
      </w:r>
      <w:r>
        <w:t xml:space="preserve">(Article 10 of Law No. 109/2025/QH15, from the 2026 tax year):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Deduction</w:t>
            </w:r>
          </w:p>
        </w:tc>
        <w:tc>
          <w:tcPr/>
          <w:p>
            <w:pPr>
              <w:pStyle w:val="Compact"/>
            </w:pPr>
            <w:r>
              <w:t xml:space="preserve">Amount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taxpayer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VND 15.5 million/month</w:t>
            </w:r>
            <w:r>
              <w:t xml:space="preserve"> </w:t>
            </w:r>
            <w:r>
              <w:t xml:space="preserve">(VND 186 million/year)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Each dependant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VND 6.2 million/month</w:t>
            </w:r>
          </w:p>
        </w:tc>
      </w:tr>
    </w:tbl>
    <w:p>
      <w:pPr>
        <w:pStyle w:val="BodyText"/>
      </w:pPr>
      <w:r>
        <w:rPr>
          <w:b/>
          <w:bCs/>
        </w:rPr>
        <w:t xml:space="preserve">Progressive rate table</w:t>
      </w:r>
      <w:r>
        <w:t xml:space="preserve"> </w:t>
      </w:r>
      <w:r>
        <w:t xml:space="preserve">(Article 9 of Law No. 109/2025/QH15,</w:t>
      </w:r>
      <w:r>
        <w:t xml:space="preserve"> </w:t>
      </w:r>
      <w:r>
        <w:rPr>
          <w:b/>
          <w:bCs/>
        </w:rPr>
        <w:t xml:space="preserve">five bands</w:t>
      </w:r>
      <w:r>
        <w:t xml:space="preserve">, replacing the</w:t>
      </w:r>
      <w:r>
        <w:t xml:space="preserve"> </w:t>
      </w:r>
      <w:r>
        <w:t xml:space="preserve">seven-band table in Circular No. 111/2013/TT-BTC):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Band</w:t>
            </w:r>
          </w:p>
        </w:tc>
        <w:tc>
          <w:tcPr/>
          <w:p>
            <w:pPr>
              <w:pStyle w:val="Compact"/>
            </w:pPr>
            <w:r>
              <w:t xml:space="preserve">Monthly taxable income (VND)</w:t>
            </w:r>
          </w:p>
        </w:tc>
        <w:tc>
          <w:tcPr/>
          <w:p>
            <w:pPr>
              <w:pStyle w:val="Compact"/>
            </w:pPr>
            <w:r>
              <w:t xml:space="preserve">Annual taxable income (VND)</w:t>
            </w:r>
          </w:p>
        </w:tc>
        <w:tc>
          <w:tcPr/>
          <w:p>
            <w:pPr>
              <w:pStyle w:val="Compact"/>
            </w:pPr>
            <w:r>
              <w:t xml:space="preserve">Rate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Up to 10 million</w:t>
            </w:r>
          </w:p>
        </w:tc>
        <w:tc>
          <w:tcPr/>
          <w:p>
            <w:pPr>
              <w:pStyle w:val="Compact"/>
            </w:pPr>
            <w:r>
              <w:t xml:space="preserve">Up to 120 million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Over 10 million to 30 million</w:t>
            </w:r>
          </w:p>
        </w:tc>
        <w:tc>
          <w:tcPr/>
          <w:p>
            <w:pPr>
              <w:pStyle w:val="Compact"/>
            </w:pPr>
            <w:r>
              <w:t xml:space="preserve">Over 120 million to 360 million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Over 30 million to 60 million</w:t>
            </w:r>
          </w:p>
        </w:tc>
        <w:tc>
          <w:tcPr/>
          <w:p>
            <w:pPr>
              <w:pStyle w:val="Compact"/>
            </w:pPr>
            <w:r>
              <w:t xml:space="preserve">Over 360 million to 720 million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Over 60 million to 100 million</w:t>
            </w:r>
          </w:p>
        </w:tc>
        <w:tc>
          <w:tcPr/>
          <w:p>
            <w:pPr>
              <w:pStyle w:val="Compact"/>
            </w:pPr>
            <w:r>
              <w:t xml:space="preserve">Over 720 million to 1.2 billion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Over 100 million</w:t>
            </w:r>
          </w:p>
        </w:tc>
        <w:tc>
          <w:tcPr/>
          <w:p>
            <w:pPr>
              <w:pStyle w:val="Compact"/>
            </w:pPr>
            <w:r>
              <w:t xml:space="preserve">Over 1.2 billion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35%</w:t>
            </w:r>
          </w:p>
        </w:tc>
      </w:tr>
    </w:tbl>
    <w:p>
      <w:pPr>
        <w:pStyle w:val="BlockText"/>
      </w:pPr>
      <w:r>
        <w:rPr>
          <w:b/>
          <w:bCs/>
        </w:rPr>
        <w:t xml:space="preserve">The source had a numbering error here, corrected in this edition</w:t>
      </w:r>
      <w:r>
        <w:t xml:space="preserve">: the bands were</w:t>
      </w:r>
      <w:r>
        <w:t xml:space="preserve"> </w:t>
      </w:r>
      <w:r>
        <w:t xml:space="preserve">numbered 1, 2, 3, 4,</w:t>
      </w:r>
      <w:r>
        <w:t xml:space="preserve"> </w:t>
      </w:r>
      <w:r>
        <w:rPr>
          <w:b/>
          <w:bCs/>
        </w:rPr>
        <w:t xml:space="preserve">7</w:t>
      </w:r>
      <w:r>
        <w:t xml:space="preserve">, where they should run 1 to 5. The rates and thresholds</w:t>
      </w:r>
      <w:r>
        <w:t xml:space="preserve"> </w:t>
      </w:r>
      <w:r>
        <w:t xml:space="preserve">themselves were correct.</w:t>
      </w:r>
    </w:p>
    <w:bookmarkEnd w:id="21"/>
    <w:bookmarkStart w:id="22" w:name="Xd2e81670cf2e05aa7f90a0f7d2cb118266248d3"/>
    <w:p>
      <w:pPr>
        <w:pStyle w:val="Heading3"/>
      </w:pPr>
      <w:r>
        <w:t xml:space="preserve">4. Residents with no labour contract, or a contract under three months</w:t>
      </w:r>
    </w:p>
    <w:p>
      <w:pPr>
        <w:pStyle w:val="FirstParagraph"/>
      </w:pPr>
      <w:r>
        <w:t xml:space="preserve">Under point (i) of Article 25.1 of Circular No. </w:t>
      </w:r>
      <w:r>
        <w:rPr>
          <w:b/>
          <w:bCs/>
        </w:rPr>
        <w:t xml:space="preserve">111/2013/TT-BTC</w:t>
      </w:r>
      <w:r>
        <w:t xml:space="preserve">:</w:t>
      </w:r>
    </w:p>
    <w:p>
      <w:pPr>
        <w:pStyle w:val="Compact"/>
        <w:numPr>
          <w:ilvl w:val="0"/>
          <w:numId w:val="1014"/>
        </w:numPr>
      </w:pPr>
      <w:r>
        <w:t xml:space="preserve">Where a single payment is</w:t>
      </w:r>
      <w:r>
        <w:t xml:space="preserve"> </w:t>
      </w:r>
      <w:r>
        <w:rPr>
          <w:b/>
          <w:bCs/>
        </w:rPr>
        <w:t xml:space="preserve">VND 2 million or more</w:t>
      </w:r>
      <w:r>
        <w:t xml:space="preserve">, the payer withholds</w:t>
      </w:r>
      <w:r>
        <w:t xml:space="preserve"> </w:t>
      </w:r>
      <w:r>
        <w:rPr>
          <w:b/>
          <w:bCs/>
        </w:rPr>
        <w:t xml:space="preserve">10% of the gross amount</w:t>
      </w:r>
      <w:r>
        <w:t xml:space="preserve"> </w:t>
      </w:r>
      <w:r>
        <w:t xml:space="preserve">before payment.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PIT payable = gross income × 10%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Exception</w:t>
      </w:r>
      <w:r>
        <w:t xml:space="preserve">: an individual whose only such income this is, and whose total income after</w:t>
      </w:r>
      <w:r>
        <w:t xml:space="preserve"> </w:t>
      </w:r>
      <w:r>
        <w:t xml:space="preserve">family deductions is not expected to reach the taxable threshold, may give the payer an</w:t>
      </w:r>
      <w:r>
        <w:t xml:space="preserve"> </w:t>
      </w:r>
      <w:r>
        <w:rPr>
          <w:b/>
          <w:bCs/>
        </w:rPr>
        <w:t xml:space="preserve">income commitment letter</w:t>
      </w:r>
      <w:r>
        <w:t xml:space="preserve">, on the basis of which withholding is suspended.</w:t>
      </w:r>
    </w:p>
    <w:p>
      <w:pPr>
        <w:pStyle w:val="Compact"/>
        <w:numPr>
          <w:ilvl w:val="1"/>
          <w:numId w:val="1015"/>
        </w:numPr>
      </w:pPr>
      <w:r>
        <w:t xml:space="preserve">The individual</w:t>
      </w:r>
      <w:r>
        <w:t xml:space="preserve"> </w:t>
      </w:r>
      <w:r>
        <w:rPr>
          <w:b/>
          <w:bCs/>
        </w:rPr>
        <w:t xml:space="preserve">must already be tax-registered and hold a tax code</w:t>
      </w:r>
      <w:r>
        <w:t xml:space="preserve">;</w:t>
      </w:r>
    </w:p>
    <w:p>
      <w:pPr>
        <w:pStyle w:val="Compact"/>
        <w:numPr>
          <w:ilvl w:val="1"/>
          <w:numId w:val="1015"/>
        </w:numPr>
      </w:pPr>
      <w:r>
        <w:t xml:space="preserve">At year end the payer must still report to the tax authority a list of individuals below</w:t>
      </w:r>
      <w:r>
        <w:t xml:space="preserve"> </w:t>
      </w:r>
      <w:r>
        <w:t xml:space="preserve">the withholding threshold and their income;</w:t>
      </w:r>
    </w:p>
    <w:p>
      <w:pPr>
        <w:pStyle w:val="Compact"/>
        <w:numPr>
          <w:ilvl w:val="1"/>
          <w:numId w:val="1015"/>
        </w:numPr>
      </w:pPr>
      <w:r>
        <w:t xml:space="preserve">A false commitment is dealt with under the Law on Tax Administration.</w:t>
      </w:r>
    </w:p>
    <w:bookmarkEnd w:id="22"/>
    <w:bookmarkStart w:id="23" w:name="non-resident-individuals"/>
    <w:p>
      <w:pPr>
        <w:pStyle w:val="Heading3"/>
      </w:pPr>
      <w:r>
        <w:t xml:space="preserve">5. Non-resident individuals</w:t>
      </w:r>
    </w:p>
    <w:p>
      <w:pPr>
        <w:pStyle w:val="FirstParagraph"/>
      </w:pPr>
      <w:r>
        <w:t xml:space="preserve">Employment income is taxed at a flat</w:t>
      </w:r>
      <w:r>
        <w:t xml:space="preserve"> </w:t>
      </w:r>
      <w:r>
        <w:rPr>
          <w:b/>
          <w:bCs/>
        </w:rPr>
        <w:t xml:space="preserve">20%</w:t>
      </w:r>
      <w:r>
        <w:t xml:space="preserve">,</w:t>
      </w:r>
      <w:r>
        <w:t xml:space="preserve"> </w:t>
      </w:r>
      <w:r>
        <w:rPr>
          <w:b/>
          <w:bCs/>
        </w:rPr>
        <w:t xml:space="preserve">regardless of where the income is paid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PIT payable = Vietnam-sourced assessable income × 20%</w:t>
      </w:r>
    </w:p>
    <w:bookmarkEnd w:id="23"/>
    <w:bookmarkStart w:id="24" w:name="points-for-employers-to-watch"/>
    <w:p>
      <w:pPr>
        <w:pStyle w:val="Heading3"/>
      </w:pPr>
      <w:r>
        <w:t xml:space="preserve">6. Points for employers to watch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Determine accurately</w:t>
      </w:r>
      <w:r>
        <w:t xml:space="preserve"> </w:t>
      </w:r>
      <w:r>
        <w:t xml:space="preserve">the employee’s residence status and contract type;</w:t>
      </w:r>
    </w:p>
    <w:p>
      <w:pPr>
        <w:pStyle w:val="Compact"/>
        <w:numPr>
          <w:ilvl w:val="0"/>
          <w:numId w:val="1016"/>
        </w:numPr>
      </w:pPr>
      <w:r>
        <w:t xml:space="preserve">From</w:t>
      </w:r>
      <w:r>
        <w:t xml:space="preserve"> </w:t>
      </w:r>
      <w:r>
        <w:rPr>
          <w:b/>
          <w:bCs/>
        </w:rPr>
        <w:t xml:space="preserve">2026</w:t>
      </w:r>
      <w:r>
        <w:t xml:space="preserve">, apply the</w:t>
      </w:r>
      <w:r>
        <w:t xml:space="preserve"> </w:t>
      </w:r>
      <w:r>
        <w:rPr>
          <w:b/>
          <w:bCs/>
        </w:rPr>
        <w:t xml:space="preserve">new family deductions and the five-band table</w:t>
      </w:r>
      <w:r>
        <w:t xml:space="preserve"> </w:t>
      </w:r>
      <w:r>
        <w:t xml:space="preserve">promptly when</w:t>
      </w:r>
      <w:r>
        <w:t xml:space="preserve"> </w:t>
      </w:r>
      <w:r>
        <w:t xml:space="preserve">computing payroll and withholding;</w:t>
      </w:r>
    </w:p>
    <w:p>
      <w:pPr>
        <w:pStyle w:val="Compact"/>
        <w:numPr>
          <w:ilvl w:val="0"/>
          <w:numId w:val="1016"/>
        </w:numPr>
      </w:pPr>
      <w:r>
        <w:t xml:space="preserve">Have employees complete</w:t>
      </w:r>
      <w:r>
        <w:t xml:space="preserve"> </w:t>
      </w:r>
      <w:r>
        <w:rPr>
          <w:b/>
          <w:bCs/>
        </w:rPr>
        <w:t xml:space="preserve">personal tax code registration</w:t>
      </w:r>
      <w:r>
        <w:t xml:space="preserve"> </w:t>
      </w:r>
      <w:r>
        <w:t xml:space="preserve">early;</w:t>
      </w:r>
    </w:p>
    <w:p>
      <w:pPr>
        <w:pStyle w:val="Compact"/>
        <w:numPr>
          <w:ilvl w:val="0"/>
          <w:numId w:val="1016"/>
        </w:numPr>
      </w:pPr>
      <w:r>
        <w:t xml:space="preserve">Retain complete tax records for finalisation and inspection.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part-iv-legal-basis-referenced"/>
    <w:p>
      <w:pPr>
        <w:pStyle w:val="Heading2"/>
      </w:pPr>
      <w:r>
        <w:t xml:space="preserve">PART IV: LEGAL BASIS REFERENCED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Topic</w:t>
            </w:r>
          </w:p>
        </w:tc>
        <w:tc>
          <w:tcPr/>
          <w:p>
            <w:pPr>
              <w:pStyle w:val="Compact"/>
            </w:pPr>
            <w:r>
              <w:t xml:space="preserve">Basis</w:t>
            </w:r>
          </w:p>
        </w:tc>
        <w:tc>
          <w:tcPr/>
          <w:p>
            <w:pPr>
              <w:pStyle w:val="Compact"/>
            </w:pPr>
            <w:r>
              <w:t xml:space="preserve">Substance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Probation period and pay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Articles 25 and 26</w:t>
            </w:r>
            <w:r>
              <w:t xml:space="preserve">, Labour Code No. 45/2019/QH14</w:t>
            </w:r>
          </w:p>
        </w:tc>
        <w:tc>
          <w:tcPr/>
          <w:p>
            <w:pPr>
              <w:pStyle w:val="Compact"/>
            </w:pPr>
            <w:r>
              <w:t xml:space="preserve">180/60/30/6 days; only once per job; pay at least 85%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Notification of probation result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Article 27</w:t>
            </w:r>
            <w:r>
              <w:t xml:space="preserve">, same Code</w:t>
            </w:r>
          </w:p>
        </w:tc>
        <w:tc>
          <w:tcPr/>
          <w:p>
            <w:pPr>
              <w:pStyle w:val="Compact"/>
            </w:pPr>
            <w:r>
              <w:t xml:space="preserve">Result must be notified; a labour contract must follow a satisfactory result; cancellation during probation needs no notice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Who must join social insurance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Law No. 41/2024/QH15</w:t>
            </w:r>
          </w:p>
        </w:tc>
        <w:tc>
          <w:tcPr/>
          <w:p>
            <w:pPr>
              <w:pStyle w:val="Compact"/>
            </w:pPr>
            <w:r>
              <w:t xml:space="preserve">Contracts of one month or more; separate probationary contracts not covered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Contribution rates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Articles 32, 33, 34</w:t>
            </w:r>
            <w:r>
              <w:t xml:space="preserve">, same Law;</w:t>
            </w:r>
            <w:r>
              <w:t xml:space="preserve"> </w:t>
            </w:r>
            <w:r>
              <w:rPr>
                <w:b/>
                <w:bCs/>
              </w:rPr>
              <w:t xml:space="preserve">Article 4, Decree No. 58/2020/NĐ-CP</w:t>
            </w:r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Decision No. 595/QĐ-BHXH</w:t>
            </w:r>
          </w:p>
        </w:tc>
        <w:tc>
          <w:tcPr/>
          <w:p>
            <w:pPr>
              <w:pStyle w:val="Compact"/>
            </w:pPr>
            <w:r>
              <w:t xml:space="preserve">Employer 21.5%, employee 10.5%, combined 32%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Contribution base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Article 31.1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b/>
                <w:bCs/>
              </w:rPr>
              <w:t xml:space="preserve">Article 141.13</w:t>
            </w:r>
            <w:r>
              <w:t xml:space="preserve">, same Law</w:t>
            </w:r>
          </w:p>
        </w:tc>
        <w:tc>
          <w:tcPr/>
          <w:p>
            <w:pPr>
              <w:pStyle w:val="Compact"/>
            </w:pPr>
            <w:r>
              <w:t xml:space="preserve">Composition of the base; floor at the reference level, ceiling at 20×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Reference level</w:t>
            </w:r>
          </w:p>
        </w:tc>
        <w:tc>
          <w:tcPr/>
          <w:p>
            <w:pPr>
              <w:pStyle w:val="Compact"/>
            </w:pPr>
            <w:r>
              <w:t xml:space="preserve">Published by Vietnam Social Security</w:t>
            </w:r>
          </w:p>
        </w:tc>
        <w:tc>
          <w:tcPr/>
          <w:p>
            <w:pPr>
              <w:pStyle w:val="Compact"/>
            </w:pPr>
            <w:r>
              <w:t xml:space="preserve">From 01/07/2026:</w:t>
            </w:r>
            <w:r>
              <w:t xml:space="preserve"> </w:t>
            </w:r>
            <w:r>
              <w:rPr>
                <w:b/>
                <w:bCs/>
              </w:rPr>
              <w:t xml:space="preserve">VND 2,530,000</w:t>
            </w:r>
            <w:r>
              <w:t xml:space="preserve">/month; ceiling</w:t>
            </w:r>
            <w:r>
              <w:t xml:space="preserve"> </w:t>
            </w:r>
            <w:r>
              <w:rPr>
                <w:b/>
                <w:bCs/>
              </w:rPr>
              <w:t xml:space="preserve">VND 50,600,000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Minimum-wage floor on the base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Point 2.6, Article 6.2</w:t>
            </w:r>
            <w:r>
              <w:t xml:space="preserve"> </w:t>
            </w:r>
            <w:r>
              <w:t xml:space="preserve">of the Procedure with Decision No. 595/QĐ-BHXH</w:t>
            </w:r>
          </w:p>
        </w:tc>
        <w:tc>
          <w:tcPr/>
          <w:p>
            <w:pPr>
              <w:pStyle w:val="Compact"/>
            </w:pPr>
            <w:r>
              <w:t xml:space="preserve">Not below the regional minimum wage at the time of contribution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Regional minimum wages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Decree No. 293/2025/NĐ-CP</w:t>
            </w:r>
          </w:p>
        </w:tc>
        <w:tc>
          <w:tcPr/>
          <w:p>
            <w:pPr>
              <w:pStyle w:val="Compact"/>
            </w:pPr>
            <w:r>
              <w:t xml:space="preserve">From 01/01/2026; Region I VND 5,310,000 to Region IV VND 3,700,000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PIT law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Law No. 109/2025/QH15</w:t>
            </w:r>
          </w:p>
        </w:tc>
        <w:tc>
          <w:tcPr/>
          <w:p>
            <w:pPr>
              <w:pStyle w:val="Compact"/>
            </w:pPr>
            <w:r>
              <w:t xml:space="preserve">Passed 10/12/2025; effective 01/07/2026; employment income from the 2026 tax year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Deductions and rate table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Articles 9 and 10</w:t>
            </w:r>
            <w:r>
              <w:t xml:space="preserve">, same Law</w:t>
            </w:r>
          </w:p>
        </w:tc>
        <w:tc>
          <w:tcPr/>
          <w:p>
            <w:pPr>
              <w:pStyle w:val="Compact"/>
            </w:pPr>
            <w:r>
              <w:t xml:space="preserve">Five-band table; VND 15.5m / VND 6.2m per month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10% withholding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Point (i), Article 25.1, Circular No. 111/2013/TT-BTC</w:t>
            </w:r>
          </w:p>
        </w:tc>
        <w:tc>
          <w:tcPr/>
          <w:p>
            <w:pPr>
              <w:pStyle w:val="Compact"/>
            </w:pPr>
            <w:r>
              <w:t xml:space="preserve">No contract or under three months, payment ≥ VND 2m: withhold 10%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6"/>
    <w:bookmarkStart w:id="27" w:name="X648f69b69c6399bf23c84312d56ecf4f48d1d47"/>
    <w:p>
      <w:pPr>
        <w:pStyle w:val="Heading2"/>
      </w:pPr>
      <w:r>
        <w:t xml:space="preserve">PART V: HOW TO USE THIS GUIDE, AND ITS LIMITS</w:t>
      </w:r>
    </w:p>
    <w:p>
      <w:pPr>
        <w:numPr>
          <w:ilvl w:val="0"/>
          <w:numId w:val="1017"/>
        </w:numPr>
      </w:pPr>
      <w:r>
        <w:rPr>
          <w:b/>
          <w:bCs/>
        </w:rPr>
        <w:t xml:space="preserve">This is general reference material and does not constitute legal advice or tax advice.</w:t>
      </w:r>
      <w:r>
        <w:t xml:space="preserve"> </w:t>
      </w:r>
      <w:r>
        <w:t xml:space="preserve">Treatment varies with sector, engagement model and pay structure; act on the advice of a</w:t>
      </w:r>
      <w:r>
        <w:t xml:space="preserve"> </w:t>
      </w:r>
      <w:r>
        <w:t xml:space="preserve">Vietnamese-qualified lawyer or tax practitioner.</w:t>
      </w:r>
    </w:p>
    <w:p>
      <w:pPr>
        <w:numPr>
          <w:ilvl w:val="0"/>
          <w:numId w:val="1017"/>
        </w:numPr>
      </w:pPr>
      <w:r>
        <w:rPr>
          <w:b/>
          <w:bCs/>
        </w:rPr>
        <w:t xml:space="preserve">Recorded with a reservation</w:t>
      </w:r>
      <w:r>
        <w:t xml:space="preserve">: the full test for resident versus non-resident status</w:t>
      </w:r>
      <w:r>
        <w:t xml:space="preserve"> </w:t>
      </w:r>
      <w:r>
        <w:t xml:space="preserve">(Part III, section 2). It is taken from the source document and has not been</w:t>
      </w:r>
      <w:r>
        <w:t xml:space="preserve"> </w:t>
      </w:r>
      <w:r>
        <w:t xml:space="preserve">independently verified against the primary legal text; because it decides directly</w:t>
      </w:r>
      <w:r>
        <w:t xml:space="preserve"> </w:t>
      </w:r>
      <w:r>
        <w:t xml:space="preserve">whether the five-band table or the flat 20% rate applies, it is flagged rather than</w:t>
      </w:r>
      <w:r>
        <w:t xml:space="preserve"> </w:t>
      </w:r>
      <w:r>
        <w:t xml:space="preserve">reproduced as settled.</w:t>
      </w:r>
    </w:p>
    <w:p>
      <w:pPr>
        <w:numPr>
          <w:ilvl w:val="0"/>
          <w:numId w:val="1017"/>
        </w:numPr>
      </w:pPr>
      <w:r>
        <w:rPr>
          <w:b/>
          <w:bCs/>
        </w:rPr>
        <w:t xml:space="preserve">Platform costs are indicative ranges</w:t>
      </w:r>
      <w:r>
        <w:t xml:space="preserve"> </w:t>
      </w:r>
      <w:r>
        <w:t xml:space="preserve">that move with policy and package; rely on</w:t>
      </w:r>
      <w:r>
        <w:t xml:space="preserve"> </w:t>
      </w:r>
      <w:r>
        <w:t xml:space="preserve">current quotations.</w:t>
      </w:r>
    </w:p>
    <w:p>
      <w:pPr>
        <w:numPr>
          <w:ilvl w:val="0"/>
          <w:numId w:val="1017"/>
        </w:numPr>
      </w:pPr>
      <w:r>
        <w:rPr>
          <w:b/>
          <w:bCs/>
        </w:rPr>
        <w:t xml:space="preserve">These rules are strongly time-sensitive.</w:t>
      </w:r>
      <w:r>
        <w:t xml:space="preserve"> </w:t>
      </w:r>
      <w:r>
        <w:t xml:space="preserve">The social insurance reference level changed</w:t>
      </w:r>
      <w:r>
        <w:t xml:space="preserve"> </w:t>
      </w:r>
      <w:r>
        <w:t xml:space="preserve">on</w:t>
      </w:r>
      <w:r>
        <w:t xml:space="preserve"> </w:t>
      </w:r>
      <w:r>
        <w:rPr>
          <w:b/>
          <w:bCs/>
        </w:rPr>
        <w:t xml:space="preserve">1 July 2026</w:t>
      </w:r>
      <w:r>
        <w:t xml:space="preserve">, regional minimum wages on</w:t>
      </w:r>
      <w:r>
        <w:t xml:space="preserve"> </w:t>
      </w:r>
      <w:r>
        <w:rPr>
          <w:b/>
          <w:bCs/>
        </w:rPr>
        <w:t xml:space="preserve">1 January 2026</w:t>
      </w:r>
      <w:r>
        <w:t xml:space="preserve">, and the new Law on</w:t>
      </w:r>
      <w:r>
        <w:t xml:space="preserve"> </w:t>
      </w:r>
      <w:r>
        <w:t xml:space="preserve">Personal Income Tax takes effect on</w:t>
      </w:r>
      <w:r>
        <w:t xml:space="preserve"> </w:t>
      </w:r>
      <w:r>
        <w:rPr>
          <w:b/>
          <w:bCs/>
        </w:rPr>
        <w:t xml:space="preserve">1 July 2026</w:t>
      </w:r>
      <w:r>
        <w:t xml:space="preserve">.</w:t>
      </w:r>
    </w:p>
    <w:p>
      <w:pPr>
        <w:numPr>
          <w:ilvl w:val="0"/>
          <w:numId w:val="1017"/>
        </w:numPr>
      </w:pPr>
      <w:r>
        <w:rPr>
          <w:b/>
          <w:bCs/>
        </w:rPr>
        <w:t xml:space="preserve">This guide contains no information relating to any particular company.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Vietnam Recruitment, Social Insurance and PIT Withholding Guide (2026 Edition)</dc:title>
  <dc:creator/>
  <dc:language>en</dc:language>
  <cp:keywords/>
  <dcterms:created xsi:type="dcterms:W3CDTF">2026-10-31T05:14:34Z</dcterms:created>
  <dcterms:modified xsi:type="dcterms:W3CDTF">2026-10-31T05:14:34Z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