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Quy trình tuyển dụng, BHXH và khấu trừ thuế TNCN tại Việt Nam (Bản 2026)</w:t>
      </w:r>
    </w:p>
    <w:bookmarkStart w:id="28" w:name="Xa1f6dcf0c6faa816e00cabc123f549884f62f8a"/>
    <w:p>
      <w:pPr>
        <w:pStyle w:val="Heading1"/>
      </w:pPr>
      <w:r>
        <w:t xml:space="preserve">QUY TRÌNH TUYỂN DỤNG, BẢO HIỂM XÃ HỘI VÀ KHẤU TRỪ THUẾ TNCN TẠI VIỆT NAM</w:t>
      </w:r>
    </w:p>
    <w:p>
      <w:pPr>
        <w:pStyle w:val="FirstParagraph"/>
      </w:pPr>
      <w:r>
        <w:rPr>
          <w:b/>
          <w:bCs/>
        </w:rPr>
        <w:t xml:space="preserve">Bản 2026</w:t>
      </w:r>
    </w:p>
    <w:p>
      <w:pPr>
        <w:pStyle w:val="BodyText"/>
      </w:pPr>
      <w:r>
        <w:rPr>
          <w:b/>
          <w:bCs/>
        </w:rPr>
        <w:t xml:space="preserve">Ngày rà soát quy định pháp luật: 18/09/2026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  <w:bCs/>
        </w:rPr>
        <w:t xml:space="preserve">Hai cập nhật then chốt của bản này — ảnh hưởng trực tiếp đến số tiền bạn tính ra.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Mức tham chiếu làm căn cứ đóng BHXH đã thay đổi</w:t>
      </w:r>
      <w:r>
        <w:t xml:space="preserve">: từ</w:t>
      </w:r>
      <w:r>
        <w:t xml:space="preserve"> </w:t>
      </w:r>
      <w:r>
        <w:rPr>
          <w:b/>
          <w:bCs/>
        </w:rPr>
        <w:t xml:space="preserve">01/7/2026</w:t>
      </w:r>
      <w:r>
        <w:t xml:space="preserve"> </w:t>
      </w:r>
      <w:r>
        <w:t xml:space="preserve">là</w:t>
      </w:r>
      <w:r>
        <w:t xml:space="preserve"> </w:t>
      </w:r>
      <w:r>
        <w:rPr>
          <w:b/>
          <w:bCs/>
        </w:rPr>
        <w:t xml:space="preserve">2.530.000 đồng/tháng</w:t>
      </w:r>
      <w:r>
        <w:t xml:space="preserve"> </w:t>
      </w:r>
      <w:r>
        <w:t xml:space="preserve">(trước đó là 2.340.000), mức trần đóng tương ứng tăng từ</w:t>
      </w:r>
      <w:r>
        <w:t xml:space="preserve"> </w:t>
      </w:r>
      <w:r>
        <w:t xml:space="preserve">46.800.000 lên</w:t>
      </w:r>
      <w:r>
        <w:t xml:space="preserve"> </w:t>
      </w:r>
      <w:r>
        <w:rPr>
          <w:b/>
          <w:bCs/>
        </w:rPr>
        <w:t xml:space="preserve">50.600.000 đồng/tháng</w:t>
      </w:r>
      <w:r>
        <w:t xml:space="preserve">.</w:t>
      </w:r>
      <w:r>
        <w:t xml:space="preserve"> </w:t>
      </w:r>
      <w:r>
        <w:rPr>
          <w:b/>
          <w:bCs/>
        </w:rPr>
        <w:t xml:space="preserve">Tài liệu cũ hầu hết vẫn ghi 2.340.000.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Biểu thuế lũy tiến thuế TNCN rút từ 7 bậc xuống 5 bậc</w:t>
      </w:r>
      <w:r>
        <w:t xml:space="preserve">, theo</w:t>
      </w:r>
      <w:r>
        <w:t xml:space="preserve"> </w:t>
      </w:r>
      <w:r>
        <w:rPr>
          <w:b/>
          <w:bCs/>
        </w:rPr>
        <w:t xml:space="preserve">Luật Thuế thu nhập cá nhân số 109/2025/QH15</w:t>
      </w:r>
      <w:r>
        <w:t xml:space="preserve">, áp dụng từ</w:t>
      </w:r>
      <w:r>
        <w:t xml:space="preserve"> </w:t>
      </w:r>
      <w:r>
        <w:rPr>
          <w:b/>
          <w:bCs/>
        </w:rPr>
        <w:t xml:space="preserve">kỳ tính thuế năm 2026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13" w:name="phần-i-tuyển-dụng"/>
    <w:p>
      <w:pPr>
        <w:pStyle w:val="Heading2"/>
      </w:pPr>
      <w:r>
        <w:t xml:space="preserve">PHẦN I: TUYỂN DỤNG</w:t>
      </w:r>
    </w:p>
    <w:bookmarkStart w:id="9" w:name="X82099d3104d84ae0639270e2cac38519f2eebab"/>
    <w:p>
      <w:pPr>
        <w:pStyle w:val="Heading3"/>
      </w:pPr>
      <w:r>
        <w:t xml:space="preserve">1. Các kênh tuyển dụng phổ biến tại Việt Nam</w:t>
      </w:r>
    </w:p>
    <w:p>
      <w:pPr>
        <w:pStyle w:val="FirstParagraph"/>
      </w:pPr>
      <w:r>
        <w:rPr>
          <w:b/>
          <w:bCs/>
        </w:rPr>
        <w:t xml:space="preserve">Chi phí là khoảng tham khảo; vui lòng căn cứ báo giá hiện hành của từng nền tảng.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Nền tảng</w:t>
            </w:r>
          </w:p>
        </w:tc>
        <w:tc>
          <w:tcPr/>
          <w:p>
            <w:pPr>
              <w:pStyle w:val="Compact"/>
            </w:pPr>
            <w:r>
              <w:t xml:space="preserve">Định vị</w:t>
            </w:r>
          </w:p>
        </w:tc>
        <w:tc>
          <w:tcPr/>
          <w:p>
            <w:pPr>
              <w:pStyle w:val="Compact"/>
            </w:pPr>
            <w:r>
              <w:t xml:space="preserve">Chi phí tham khảo</w:t>
            </w:r>
          </w:p>
        </w:tc>
        <w:tc>
          <w:tcPr/>
          <w:p>
            <w:pPr>
              <w:pStyle w:val="Compact"/>
            </w:pPr>
            <w:r>
              <w:t xml:space="preserve">Yêu cầu đăng tin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VietnamWorks</w:t>
            </w:r>
            <w:r>
              <w:t xml:space="preserve">&lt;vietnamworks.com&gt;</w:t>
            </w:r>
          </w:p>
        </w:tc>
        <w:tc>
          <w:tcPr/>
          <w:p>
            <w:pPr>
              <w:pStyle w:val="Compact"/>
            </w:pPr>
            <w:r>
              <w:t xml:space="preserve">Uy tín cao, chất lượng ứng viên tốt, phủ nhiều ngành</w:t>
            </w:r>
          </w:p>
        </w:tc>
        <w:tc>
          <w:tcPr/>
          <w:p>
            <w:pPr>
              <w:pStyle w:val="Compact"/>
            </w:pPr>
            <w:r>
              <w:t xml:space="preserve">2–10 triệu đồng/gói</w:t>
            </w:r>
          </w:p>
        </w:tc>
        <w:tc>
          <w:tcPr/>
          <w:p>
            <w:pPr>
              <w:pStyle w:val="Compact"/>
            </w:pPr>
            <w:r>
              <w:t xml:space="preserve">Tiêu đề rõ ràng; mô tả công việc chi tiết; yêu cầu ứng viên; phúc lợi; địa điểm và liên hệ. Ưu tiên trình bày chuyên nghiệp, dùng tiếng Việt hoặc tiếng Anh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TopCV</w:t>
            </w:r>
            <w:r>
              <w:t xml:space="preserve">&lt;topcv.vn&gt;</w:t>
            </w:r>
          </w:p>
        </w:tc>
        <w:tc>
          <w:tcPr/>
          <w:p>
            <w:pPr>
              <w:pStyle w:val="Compact"/>
            </w:pPr>
            <w:r>
              <w:t xml:space="preserve">Dữ liệu lớn, giao diện hồ sơ hiện đại</w:t>
            </w:r>
          </w:p>
        </w:tc>
        <w:tc>
          <w:tcPr/>
          <w:p>
            <w:pPr>
              <w:pStyle w:val="Compact"/>
            </w:pPr>
            <w:r>
              <w:t xml:space="preserve">2–10 triệu đồng/gói</w:t>
            </w:r>
          </w:p>
        </w:tc>
        <w:tc>
          <w:tcPr/>
          <w:p>
            <w:pPr>
              <w:pStyle w:val="Compact"/>
            </w:pPr>
            <w:r>
              <w:t xml:space="preserve">Nội dung không trùng lặp; thông tin đầy đủ (mô tả, yêu cầu, phúc lợi); không lỗi chính tả. Từ chối nội dung sao chép, sai ngữ pháp; nên thêm logo công 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CareerViet</w:t>
            </w:r>
            <w:r>
              <w:t xml:space="preserve">&lt;careerviet.vn&gt;</w:t>
            </w:r>
          </w:p>
        </w:tc>
        <w:tc>
          <w:tcPr/>
          <w:p>
            <w:pPr>
              <w:pStyle w:val="Compact"/>
            </w:pPr>
            <w:r>
              <w:t xml:space="preserve">Mạnh về quản lý cấp trung – cao và nhân sự chuyên môn; hệ thống sàng lọc tốt, có báo cáo tuyển dụng</w:t>
            </w:r>
          </w:p>
        </w:tc>
        <w:tc>
          <w:tcPr/>
          <w:p>
            <w:pPr>
              <w:pStyle w:val="Compact"/>
            </w:pPr>
            <w:r>
              <w:t xml:space="preserve">2–10 triệu đồng/gói</w:t>
            </w:r>
          </w:p>
        </w:tc>
        <w:tc>
          <w:tcPr/>
          <w:p>
            <w:pPr>
              <w:pStyle w:val="Compact"/>
            </w:pPr>
            <w:r>
              <w:t xml:space="preserve">Mô tả chính xác yêu cầu và trách nhiệm chuyên môn bằng tiếng Anh hoặc tiếng Việt; bắt buộc điền ngành, cấp bậc, chức danh; không nhận vị trí tự do hoặc thông tin thiếu minh bạch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ViecLam24h</w:t>
            </w:r>
            <w:r>
              <w:t xml:space="preserve">&lt;vieclam24h.vn&gt;</w:t>
            </w:r>
          </w:p>
        </w:tc>
        <w:tc>
          <w:tcPr/>
          <w:p>
            <w:pPr>
              <w:pStyle w:val="Compact"/>
            </w:pPr>
            <w:r>
              <w:t xml:space="preserve">Vị trí phổ thông, phủ toàn quốc, phù hợp nhân viên văn phòng</w:t>
            </w:r>
          </w:p>
        </w:tc>
        <w:tc>
          <w:tcPr/>
          <w:p>
            <w:pPr>
              <w:pStyle w:val="Compact"/>
            </w:pPr>
            <w:r>
              <w:t xml:space="preserve">1,5–3 triệu đồng/gói</w:t>
            </w:r>
          </w:p>
        </w:tc>
        <w:tc>
          <w:tcPr/>
          <w:p>
            <w:pPr>
              <w:pStyle w:val="Compact"/>
            </w:pPr>
            <w:r>
              <w:t xml:space="preserve">Bắt buộc có số điện thoại và địa chỉ chi tiết; thông tin công ty đầy đủ, hạn chế viết tắt; cấm tin mập mờ, đa cấp hoặc không đúng ngành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ITviec</w:t>
            </w:r>
            <w:r>
              <w:t xml:space="preserve">&lt;itviec.com&gt;</w:t>
            </w:r>
          </w:p>
        </w:tc>
        <w:tc>
          <w:tcPr/>
          <w:p>
            <w:pPr>
              <w:pStyle w:val="Compact"/>
            </w:pPr>
            <w:r>
              <w:t xml:space="preserve">Chuyên nhân sự IT (lập trình, BA, tester…)</w:t>
            </w:r>
          </w:p>
        </w:tc>
        <w:tc>
          <w:tcPr/>
          <w:p>
            <w:pPr>
              <w:pStyle w:val="Compact"/>
            </w:pPr>
            <w:r>
              <w:t xml:space="preserve">2–10 triệu đồng/gói</w:t>
            </w:r>
          </w:p>
        </w:tc>
        <w:tc>
          <w:tcPr/>
          <w:p>
            <w:pPr>
              <w:pStyle w:val="Compact"/>
            </w:pPr>
            <w:r>
              <w:t xml:space="preserve">Tiêu đề rõ; mô tả chi tiết; yêu cầu ứng viên; phúc lợi; địa điểm và liên hệ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CareerLink</w:t>
            </w:r>
            <w:r>
              <w:t xml:space="preserve">&lt;careerlink.vn&gt;</w:t>
            </w:r>
          </w:p>
        </w:tc>
        <w:tc>
          <w:tcPr/>
          <w:p>
            <w:pPr>
              <w:pStyle w:val="Compact"/>
            </w:pPr>
            <w:r>
              <w:t xml:space="preserve">Mạnh với doanh nghiệp Nhật, khu công nghiệp và vị trí kỹ thuật</w:t>
            </w:r>
          </w:p>
        </w:tc>
        <w:tc>
          <w:tcPr/>
          <w:p>
            <w:pPr>
              <w:pStyle w:val="Compact"/>
            </w:pPr>
            <w:r>
              <w:t xml:space="preserve">2–10 triệu đồng/gói</w:t>
            </w:r>
          </w:p>
        </w:tc>
        <w:tc>
          <w:tcPr/>
          <w:p>
            <w:pPr>
              <w:pStyle w:val="Compact"/>
            </w:pPr>
            <w:r>
              <w:t xml:space="preserve">Như trên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123job.vn</w:t>
            </w:r>
            <w:r>
              <w:t xml:space="preserve">&lt;123job.vn&gt;</w:t>
            </w:r>
          </w:p>
        </w:tc>
        <w:tc>
          <w:tcPr/>
          <w:p>
            <w:pPr>
              <w:pStyle w:val="Compact"/>
            </w:pPr>
            <w:r>
              <w:t xml:space="preserve">Thao tác đơn giản, chi phí thấp</w:t>
            </w:r>
          </w:p>
        </w:tc>
        <w:tc>
          <w:tcPr/>
          <w:p>
            <w:pPr>
              <w:pStyle w:val="Compact"/>
            </w:pPr>
            <w:r>
              <w:t xml:space="preserve">1–3 triệu đồng/gói</w:t>
            </w:r>
          </w:p>
        </w:tc>
        <w:tc>
          <w:tcPr/>
          <w:p>
            <w:pPr>
              <w:pStyle w:val="Compact"/>
            </w:pPr>
            <w:r>
              <w:t xml:space="preserve">Tiêu đề rõ; mô tả chi tiết; điều kiện và tiêu chuẩn ứng tuyển; phúc lợi; địa điểm và liên hệ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Ybox</w:t>
            </w:r>
            <w:r>
              <w:t xml:space="preserve">&lt;ybox.vn&gt;</w:t>
            </w:r>
          </w:p>
        </w:tc>
        <w:tc>
          <w:tcPr/>
          <w:p>
            <w:pPr>
              <w:pStyle w:val="Compact"/>
            </w:pPr>
            <w:r>
              <w:t xml:space="preserve">Ưu tiên thực tập sinh và sinh viên</w:t>
            </w:r>
          </w:p>
        </w:tc>
        <w:tc>
          <w:tcPr/>
          <w:p>
            <w:pPr>
              <w:pStyle w:val="Compact"/>
            </w:pPr>
            <w:r>
              <w:t xml:space="preserve">Miễn phí</w:t>
            </w:r>
          </w:p>
        </w:tc>
        <w:tc>
          <w:tcPr/>
          <w:p>
            <w:pPr>
              <w:pStyle w:val="Compact"/>
            </w:pPr>
            <w:r>
              <w:t xml:space="preserve">Cấm vị trí đa cấp; không tuyển sale bán thời gian; phải ghi rõ mô tả công việc và phúc lợi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JobsGO</w:t>
            </w:r>
            <w:r>
              <w:t xml:space="preserve">&lt;jobsgo.vn&gt;</w:t>
            </w:r>
          </w:p>
        </w:tc>
        <w:tc>
          <w:tcPr/>
          <w:p>
            <w:pPr>
              <w:pStyle w:val="Compact"/>
            </w:pPr>
            <w:r>
              <w:t xml:space="preserve">Có bản miễn phí cho doanh nghiệp vừa và nhỏ</w:t>
            </w:r>
          </w:p>
        </w:tc>
        <w:tc>
          <w:tcPr/>
          <w:p>
            <w:pPr>
              <w:pStyle w:val="Compact"/>
            </w:pPr>
            <w:r>
              <w:t xml:space="preserve">500.000 đồng/gói</w:t>
            </w:r>
          </w:p>
        </w:tc>
        <w:tc>
          <w:tcPr/>
          <w:p>
            <w:pPr>
              <w:pStyle w:val="Compact"/>
            </w:pPr>
            <w:r>
              <w:t xml:space="preserve">Đầy đủ trường: mô tả, yêu cầu, phúc lợi, hình thức làm việc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Glints</w:t>
            </w:r>
            <w:r>
              <w:t xml:space="preserve">&lt;glints.com/vn&gt;</w:t>
            </w:r>
          </w:p>
        </w:tc>
        <w:tc>
          <w:tcPr/>
          <w:p>
            <w:pPr>
              <w:pStyle w:val="Compact"/>
            </w:pPr>
            <w:r>
              <w:t xml:space="preserve">Dịch vụ miễn phí có giới hạn, phù hợp startup và vị trí đầu vào</w:t>
            </w:r>
          </w:p>
        </w:tc>
        <w:tc>
          <w:tcPr/>
          <w:p>
            <w:pPr>
              <w:pStyle w:val="Compact"/>
            </w:pPr>
            <w:r>
              <w:t xml:space="preserve">1 triệu đồng/gói</w:t>
            </w:r>
          </w:p>
        </w:tc>
        <w:tc>
          <w:tcPr/>
          <w:p>
            <w:pPr>
              <w:pStyle w:val="Compact"/>
            </w:pPr>
            <w:r>
              <w:t xml:space="preserve">Như trên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Timviec365</w:t>
            </w:r>
            <w:r>
              <w:t xml:space="preserve">&lt;timviec365.vn&gt;</w:t>
            </w:r>
          </w:p>
        </w:tc>
        <w:tc>
          <w:tcPr/>
          <w:p>
            <w:pPr>
              <w:pStyle w:val="Compact"/>
            </w:pPr>
            <w:r>
              <w:t xml:space="preserve">Có gói miễn phí nhưng độ hiển thị thấp nếu không trả phí</w:t>
            </w:r>
          </w:p>
        </w:tc>
        <w:tc>
          <w:tcPr/>
          <w:p>
            <w:pPr>
              <w:pStyle w:val="Compact"/>
            </w:pPr>
            <w:r>
              <w:t xml:space="preserve">Bản miễn phí; gói trả phí từ khoảng 1 triệu đồng</w:t>
            </w:r>
          </w:p>
        </w:tc>
        <w:tc>
          <w:tcPr/>
          <w:p>
            <w:pPr>
              <w:pStyle w:val="Compact"/>
            </w:pPr>
            <w:r>
              <w:t xml:space="preserve">Như trên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Nhóm tuyển dụng Facebook</w:t>
            </w:r>
          </w:p>
        </w:tc>
        <w:tc>
          <w:tcPr/>
          <w:p>
            <w:pPr>
              <w:pStyle w:val="Compact"/>
            </w:pPr>
            <w:r>
              <w:t xml:space="preserve">Vị trí back-office (nhân sự, kế toán), phổ thông, thực tập, bán thời gian</w:t>
            </w:r>
          </w:p>
        </w:tc>
        <w:tc>
          <w:tcPr/>
          <w:p>
            <w:pPr>
              <w:pStyle w:val="Compact"/>
            </w:pPr>
            <w:r>
              <w:t xml:space="preserve">Miễn phí</w:t>
            </w:r>
          </w:p>
        </w:tc>
        <w:tc>
          <w:tcPr/>
          <w:p>
            <w:pPr>
              <w:pStyle w:val="Compact"/>
            </w:pPr>
            <w:r>
              <w:t xml:space="preserve">Ghi rõ lương, chức danh và liên hệ; tránh phóng đại hoặc thông tin không rõ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Zalo OA / nhóm</w:t>
            </w:r>
          </w:p>
        </w:tc>
        <w:tc>
          <w:tcPr/>
          <w:p>
            <w:pPr>
              <w:pStyle w:val="Compact"/>
            </w:pPr>
            <w:r>
              <w:t xml:space="preserve">Tuyển dụng nội bộ, vị trí theo ngành cụ thể</w:t>
            </w:r>
          </w:p>
        </w:tc>
        <w:tc>
          <w:tcPr/>
          <w:p>
            <w:pPr>
              <w:pStyle w:val="Compact"/>
            </w:pPr>
            <w:r>
              <w:t xml:space="preserve">Miễn phí</w:t>
            </w:r>
          </w:p>
        </w:tc>
        <w:tc>
          <w:tcPr/>
          <w:p>
            <w:pPr>
              <w:pStyle w:val="Compact"/>
            </w:pPr>
            <w:r>
              <w:t xml:space="preserve">Có hình ảnh, nội dung đáng tin cậy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LinkedIn</w:t>
            </w:r>
            <w:r>
              <w:t xml:space="preserve">&lt;linkedin.com&gt;</w:t>
            </w:r>
          </w:p>
        </w:tc>
        <w:tc>
          <w:tcPr/>
          <w:p>
            <w:pPr>
              <w:pStyle w:val="Compact"/>
            </w:pPr>
            <w:r>
              <w:t xml:space="preserve">Chuyên gia và nhân sự cấp cao; IT, marketing, tài chính</w:t>
            </w:r>
          </w:p>
        </w:tc>
        <w:tc>
          <w:tcPr/>
          <w:p>
            <w:pPr>
              <w:pStyle w:val="Compact"/>
            </w:pPr>
            <w:r>
              <w:t xml:space="preserve">Hồ sơ cá nhân miễn phí; gói doanh nghiệp khoảng 5–20 triệu đồng</w:t>
            </w:r>
          </w:p>
        </w:tc>
        <w:tc>
          <w:tcPr/>
          <w:p>
            <w:pPr>
              <w:pStyle w:val="Compact"/>
            </w:pPr>
            <w:r>
              <w:t xml:space="preserve">Nội dung chuyên nghiệp, chủ yếu tiếng Anh; thể hiện rõ văn hóa doanh nghiệp, vị trí và yêu cầu kỹ năng; có hồ sơ pháp lý doanh nghiệp hoặc trang cá nhân đáng tin</w:t>
            </w:r>
          </w:p>
        </w:tc>
      </w:tr>
    </w:tbl>
    <w:p>
      <w:pPr>
        <w:pStyle w:val="BlockText"/>
      </w:pPr>
      <w:r>
        <w:rPr>
          <w:b/>
          <w:bCs/>
        </w:rPr>
        <w:t xml:space="preserve">Một lỗi của bản gốc đã được sửa</w:t>
      </w:r>
      <w:r>
        <w:t xml:space="preserve">: dòng CareerLink ghi</w:t>
      </w:r>
      <w:r>
        <w:t xml:space="preserve"> </w:t>
      </w:r>
      <w:r>
        <w:t xml:space="preserve">“200-</w:t>
      </w:r>
      <w:r>
        <w:rPr>
          <w:b/>
          <w:bCs/>
        </w:rPr>
        <w:t xml:space="preserve">100</w:t>
      </w:r>
      <w:r>
        <w:t xml:space="preserve"> </w:t>
      </w:r>
      <w:r>
        <w:t xml:space="preserve">triệu/gói”</w:t>
      </w:r>
      <w:r>
        <w:t xml:space="preserve">,</w:t>
      </w:r>
      <w:r>
        <w:t xml:space="preserve"> </w:t>
      </w:r>
      <w:r>
        <w:t xml:space="preserve">đảo ngược cận trên và cận dưới. Theo mặt bằng các nền tảng cùng loại, khoảng đúng là</w:t>
      </w:r>
      <w:r>
        <w:t xml:space="preserve"> </w:t>
      </w:r>
      <w:r>
        <w:t xml:space="preserve">2–10 triệu đồng/gói.</w:t>
      </w:r>
      <w:r>
        <w:t xml:space="preserve"> </w:t>
      </w:r>
      <w:r>
        <w:rPr>
          <w:b/>
          <w:bCs/>
        </w:rPr>
        <w:t xml:space="preserve">Chi phí vẫn chỉ là tham khảo; căn cứ báo giá hiện hành.</w:t>
      </w:r>
    </w:p>
    <w:bookmarkEnd w:id="9"/>
    <w:bookmarkStart w:id="10" w:name="yêu-cầu-chung-khi-đăng-tin"/>
    <w:p>
      <w:pPr>
        <w:pStyle w:val="Heading3"/>
      </w:pPr>
      <w:r>
        <w:t xml:space="preserve">2. Yêu cầu chung khi đăng tin</w:t>
      </w:r>
    </w:p>
    <w:p>
      <w:pPr>
        <w:pStyle w:val="Compact"/>
        <w:numPr>
          <w:ilvl w:val="0"/>
          <w:numId w:val="1002"/>
        </w:numPr>
      </w:pPr>
      <w:r>
        <w:t xml:space="preserve">Tiêu đề rõ ràng, phù hợp đặc thù ngành;</w:t>
      </w:r>
    </w:p>
    <w:p>
      <w:pPr>
        <w:pStyle w:val="Compact"/>
        <w:numPr>
          <w:ilvl w:val="0"/>
          <w:numId w:val="1002"/>
        </w:numPr>
      </w:pPr>
      <w:r>
        <w:t xml:space="preserve">Mô tả chi tiết nội dung công việc và yêu cầu ứng viên;</w:t>
      </w:r>
    </w:p>
    <w:p>
      <w:pPr>
        <w:pStyle w:val="Compact"/>
        <w:numPr>
          <w:ilvl w:val="0"/>
          <w:numId w:val="1002"/>
        </w:numPr>
      </w:pPr>
      <w:r>
        <w:t xml:space="preserve">Cung cấp thông tin liên hệ chính xác;</w:t>
      </w:r>
    </w:p>
    <w:p>
      <w:pPr>
        <w:pStyle w:val="Compact"/>
        <w:numPr>
          <w:ilvl w:val="0"/>
          <w:numId w:val="1002"/>
        </w:numPr>
      </w:pPr>
      <w:r>
        <w:t xml:space="preserve">Tránh lỗi chính tả và cách diễn đạt thiếu chuyên nghiệp;</w:t>
      </w:r>
    </w:p>
    <w:p>
      <w:pPr>
        <w:pStyle w:val="Compact"/>
        <w:numPr>
          <w:ilvl w:val="0"/>
          <w:numId w:val="1002"/>
        </w:numPr>
      </w:pPr>
      <w:r>
        <w:t xml:space="preserve">Tuân thủ chính sách và điều khoản của nền tảng.</w:t>
      </w:r>
    </w:p>
    <w:bookmarkEnd w:id="10"/>
    <w:bookmarkStart w:id="11" w:name="quy-trình-tuyển-dụng-chuẩn"/>
    <w:p>
      <w:pPr>
        <w:pStyle w:val="Heading3"/>
      </w:pPr>
      <w:r>
        <w:t xml:space="preserve">3. Quy trình tuyển dụng chuẩn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Xác định nhu cầu</w:t>
      </w:r>
      <w:r>
        <w:t xml:space="preserve">: số lượng, vị trí, mô tả công việc chi tiết; tiêu chuẩn về trình độ,</w:t>
      </w:r>
      <w:r>
        <w:t xml:space="preserve"> </w:t>
      </w:r>
      <w:r>
        <w:t xml:space="preserve">kỹ năng, kinh nghiệm.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Lập kế hoạch</w:t>
      </w:r>
      <w:r>
        <w:t xml:space="preserve">: thời gian, nhân sự, ngân sách; chọn kênh (website công ty, mạng xã hội,</w:t>
      </w:r>
      <w:r>
        <w:t xml:space="preserve"> </w:t>
      </w:r>
      <w:r>
        <w:t xml:space="preserve">nền tảng tuyển dụng…); phương án dự phòng.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Đăng tin và tìm kiếm chủ động</w:t>
      </w:r>
      <w:r>
        <w:t xml:space="preserve">: xây dựng mô tả công việc (trách nhiệm, yêu cầu, phúc lợi);</w:t>
      </w:r>
      <w:r>
        <w:t xml:space="preserve"> </w:t>
      </w:r>
      <w:r>
        <w:t xml:space="preserve">đăng trên các nền tảng; dùng công cụ tìm ứng viên; tiếp cận qua quan hệ và mạng lưới.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Sàng lọc hồ sơ</w:t>
      </w:r>
      <w:r>
        <w:t xml:space="preserve">: xét hồ sơ theo tiêu chí đã đặt, chọn ứng viên vào vòng phỏng vấn.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Phỏng vấn</w:t>
      </w:r>
      <w:r>
        <w:t xml:space="preserve">: trực tiếp hoặc trực tuyến, đánh giá năng lực, kinh nghiệm và tính cách.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Đánh giá và tuyển dụng</w:t>
      </w:r>
      <w:r>
        <w:t xml:space="preserve">: tổng hợp kết quả, ra quyết định và thông báo;</w:t>
      </w:r>
      <w:r>
        <w:t xml:space="preserve"> </w:t>
      </w:r>
      <w:r>
        <w:t xml:space="preserve">gửi thư mời nhận việc, hoàn tất thủ tục onboarding.</w:t>
      </w:r>
    </w:p>
    <w:bookmarkEnd w:id="11"/>
    <w:bookmarkStart w:id="12" w:name="đánh-giá-cuối-thời-gian-thử-việc"/>
    <w:p>
      <w:pPr>
        <w:pStyle w:val="Heading3"/>
      </w:pPr>
      <w:r>
        <w:t xml:space="preserve">4. Đánh giá cuối thời gian thử việc</w:t>
      </w:r>
    </w:p>
    <w:p>
      <w:pPr>
        <w:pStyle w:val="Compact"/>
        <w:numPr>
          <w:ilvl w:val="0"/>
          <w:numId w:val="1004"/>
        </w:numPr>
      </w:pPr>
      <w:r>
        <w:t xml:space="preserve">Quản lý trực tiếp chịu trách nhiệm đánh giá;</w:t>
      </w:r>
    </w:p>
    <w:p>
      <w:pPr>
        <w:pStyle w:val="Compact"/>
        <w:numPr>
          <w:ilvl w:val="0"/>
          <w:numId w:val="1004"/>
        </w:numPr>
      </w:pPr>
      <w:r>
        <w:t xml:space="preserve">Tiêu chí gồm năng lực chuyên môn, thái độ làm việc và khả năng phối hợp;</w:t>
      </w:r>
    </w:p>
    <w:p>
      <w:pPr>
        <w:pStyle w:val="Compact"/>
        <w:numPr>
          <w:ilvl w:val="0"/>
          <w:numId w:val="1004"/>
        </w:numPr>
      </w:pPr>
      <w:r>
        <w:t xml:space="preserve">Kết quả là căn cứ để ký hợp đồng lao động chính thức hoặc chấm dứt thử việc;</w:t>
      </w:r>
    </w:p>
    <w:p>
      <w:pPr>
        <w:pStyle w:val="Compact"/>
        <w:numPr>
          <w:ilvl w:val="0"/>
          <w:numId w:val="1004"/>
        </w:numPr>
      </w:pPr>
      <w:r>
        <w:t xml:space="preserve">Đạt yêu cầu thì nên ký hợp đồng lao động trong 1–3 ngày sau khi đánh giá.</w:t>
      </w:r>
    </w:p>
    <w:p>
      <w:pPr>
        <w:pStyle w:val="BlockText"/>
      </w:pPr>
      <w:r>
        <w:rPr>
          <w:b/>
          <w:bCs/>
        </w:rPr>
        <w:t xml:space="preserve">Yêu cầu luật định (Bộ luật Lao động số 45/2019/QH14, Điều 27)</w:t>
      </w:r>
      <w:r>
        <w:t xml:space="preserve">:</w:t>
      </w:r>
      <w:r>
        <w:t xml:space="preserve"> </w:t>
      </w:r>
      <w:r>
        <w:t xml:space="preserve">khi kết thúc thời gian thử việc,</w:t>
      </w:r>
      <w:r>
        <w:t xml:space="preserve"> </w:t>
      </w:r>
      <w:r>
        <w:rPr>
          <w:b/>
          <w:bCs/>
        </w:rPr>
        <w:t xml:space="preserve">người sử dụng lao động phải thông báo kết quả</w:t>
      </w:r>
      <w:r>
        <w:t xml:space="preserve">;</w:t>
      </w:r>
      <w:r>
        <w:t xml:space="preserve"> </w:t>
      </w:r>
      <w:r>
        <w:t xml:space="preserve">nếu đạt yêu cầu và hai bên đã ký</w:t>
      </w:r>
      <w:r>
        <w:t xml:space="preserve"> </w:t>
      </w:r>
      <w:r>
        <w:rPr>
          <w:b/>
          <w:bCs/>
        </w:rPr>
        <w:t xml:space="preserve">hợp đồng thử việc riêng thì phải giao kết hợp đồng lao động</w:t>
      </w:r>
      <w:r>
        <w:t xml:space="preserve">.</w:t>
      </w:r>
      <w:r>
        <w:t xml:space="preserve"> </w:t>
      </w:r>
      <w:r>
        <w:t xml:space="preserve">Trong thời gian thử việc, mỗi bên được hủy bỏ</w:t>
      </w:r>
      <w:r>
        <w:t xml:space="preserve"> </w:t>
      </w:r>
      <w:r>
        <w:rPr>
          <w:b/>
          <w:bCs/>
        </w:rPr>
        <w:t xml:space="preserve">mà không cần báo trước và không phải bồi thường</w:t>
      </w:r>
      <w:r>
        <w:t xml:space="preserve"> </w:t>
      </w:r>
      <w:r>
        <w:t xml:space="preserve">(khoản 2 Điều 27).</w:t>
      </w:r>
    </w:p>
    <w:p>
      <w:pPr>
        <w:pStyle w:val="BlockText"/>
      </w:pPr>
      <w:r>
        <w:t xml:space="preserve">Thời gian thử việc tối đa theo Điều 25: người quản lý doanh nghiệp 180 ngày;</w:t>
      </w:r>
      <w:r>
        <w:t xml:space="preserve"> </w:t>
      </w:r>
      <w:r>
        <w:t xml:space="preserve">trình độ cao đẳng trở lên 60 ngày; trung cấp, công nhân kỹ thuật, nhân viên nghiệp vụ 30 ngày;</w:t>
      </w:r>
      <w:r>
        <w:t xml:space="preserve"> </w:t>
      </w:r>
      <w:r>
        <w:t xml:space="preserve">công việc khác 6 ngày;</w:t>
      </w:r>
      <w:r>
        <w:t xml:space="preserve"> </w:t>
      </w:r>
      <w:r>
        <w:rPr>
          <w:b/>
          <w:bCs/>
        </w:rPr>
        <w:t xml:space="preserve">mỗi công việc chỉ thử việc một lần</w:t>
      </w:r>
      <w:r>
        <w:t xml:space="preserve">.</w:t>
      </w:r>
      <w:r>
        <w:t xml:space="preserve"> </w:t>
      </w:r>
      <w:r>
        <w:t xml:space="preserve">Tiền lương thử việc</w:t>
      </w:r>
      <w:r>
        <w:t xml:space="preserve"> </w:t>
      </w:r>
      <w:r>
        <w:rPr>
          <w:b/>
          <w:bCs/>
        </w:rPr>
        <w:t xml:space="preserve">ít nhất bằng 85% mức lương của công việc đó</w:t>
      </w:r>
      <w:r>
        <w:t xml:space="preserve"> </w:t>
      </w:r>
      <w:r>
        <w:t xml:space="preserve">(Điều 26).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8" w:name="phần-ii-bảo-hiểm-xã-hội"/>
    <w:p>
      <w:pPr>
        <w:pStyle w:val="Heading2"/>
      </w:pPr>
      <w:r>
        <w:t xml:space="preserve">PHẦN II: BẢO HIỂM XÃ HỘI</w:t>
      </w:r>
    </w:p>
    <w:bookmarkStart w:id="14" w:name="điều-kiện-tham-gia-bắt-buộc"/>
    <w:p>
      <w:pPr>
        <w:pStyle w:val="Heading3"/>
      </w:pPr>
      <w:r>
        <w:t xml:space="preserve">1. Điều kiện tham gia bắt buộc</w:t>
      </w:r>
    </w:p>
    <w:p>
      <w:pPr>
        <w:pStyle w:val="Compact"/>
        <w:numPr>
          <w:ilvl w:val="0"/>
          <w:numId w:val="1005"/>
        </w:numPr>
      </w:pPr>
      <w:r>
        <w:t xml:space="preserve">Người lao động ký hợp đồng lao động</w:t>
      </w:r>
      <w:r>
        <w:t xml:space="preserve"> </w:t>
      </w:r>
      <w:r>
        <w:rPr>
          <w:b/>
          <w:bCs/>
        </w:rPr>
        <w:t xml:space="preserve">từ 01 tháng trở lên</w:t>
      </w:r>
      <w:r>
        <w:t xml:space="preserve"> </w:t>
      </w:r>
      <w:r>
        <w:t xml:space="preserve">phải tham gia</w:t>
      </w:r>
      <w:r>
        <w:t xml:space="preserve"> </w:t>
      </w:r>
      <w:r>
        <w:t xml:space="preserve">BHXH, BHYT và BHTN.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Thời gian thử việc phụ thuộc hình thức giao kết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t xml:space="preserve">Ký</w:t>
      </w:r>
      <w:r>
        <w:t xml:space="preserve"> </w:t>
      </w:r>
      <w:r>
        <w:rPr>
          <w:b/>
          <w:bCs/>
        </w:rPr>
        <w:t xml:space="preserve">hợp đồng thử việc riêng</w:t>
      </w:r>
      <w:r>
        <w:t xml:space="preserve">:</w:t>
      </w:r>
      <w:r>
        <w:t xml:space="preserve"> </w:t>
      </w:r>
      <w:r>
        <w:rPr>
          <w:b/>
          <w:bCs/>
        </w:rPr>
        <w:t xml:space="preserve">không thuộc</w:t>
      </w:r>
      <w:r>
        <w:t xml:space="preserve"> </w:t>
      </w:r>
      <w:r>
        <w:t xml:space="preserve">đối tượng tham gia;</w:t>
      </w:r>
    </w:p>
    <w:p>
      <w:pPr>
        <w:pStyle w:val="Compact"/>
        <w:numPr>
          <w:ilvl w:val="1"/>
          <w:numId w:val="1006"/>
        </w:numPr>
      </w:pPr>
      <w:r>
        <w:t xml:space="preserve">Thử việc thực hiện bằng</w:t>
      </w:r>
      <w:r>
        <w:t xml:space="preserve"> </w:t>
      </w:r>
      <w:r>
        <w:rPr>
          <w:b/>
          <w:bCs/>
        </w:rPr>
        <w:t xml:space="preserve">hợp đồng lao động có ghi nội dung</w:t>
      </w:r>
      <w:r>
        <w:rPr>
          <w:b/>
          <w:bCs/>
        </w:rPr>
        <w:t xml:space="preserve"> </w:t>
      </w:r>
      <w:r>
        <w:rPr>
          <w:b/>
          <w:bCs/>
        </w:rPr>
        <w:t xml:space="preserve">“thử việc”</w:t>
      </w:r>
      <w:r>
        <w:t xml:space="preserve">:</w:t>
      </w:r>
      <w:r>
        <w:t xml:space="preserve"> </w:t>
      </w:r>
      <w:r>
        <w:t xml:space="preserve">tham gia</w:t>
      </w:r>
      <w:r>
        <w:t xml:space="preserve"> </w:t>
      </w:r>
      <w:r>
        <w:rPr>
          <w:b/>
          <w:bCs/>
        </w:rPr>
        <w:t xml:space="preserve">kể từ ngày hợp đồng lao động có hiệu lực</w:t>
      </w:r>
      <w:r>
        <w:t xml:space="preserve">.</w:t>
      </w:r>
    </w:p>
    <w:bookmarkEnd w:id="14"/>
    <w:bookmarkStart w:id="15" w:name="tỷ-lệ-đóng-năm-2026"/>
    <w:p>
      <w:pPr>
        <w:pStyle w:val="Heading3"/>
      </w:pPr>
      <w:r>
        <w:t xml:space="preserve">2. Tỷ lệ đóng (năm 2026)</w:t>
      </w:r>
    </w:p>
    <w:p>
      <w:pPr>
        <w:pStyle w:val="FirstParagraph"/>
      </w:pPr>
      <w:r>
        <w:t xml:space="preserve">Căn cứ Điều 32, 33, 34</w:t>
      </w:r>
      <w:r>
        <w:t xml:space="preserve"> </w:t>
      </w:r>
      <w:r>
        <w:rPr>
          <w:b/>
          <w:bCs/>
        </w:rPr>
        <w:t xml:space="preserve">Luật BHXH số 41/2024/QH15</w:t>
      </w:r>
      <w:r>
        <w:t xml:space="preserve">; Điều 4</w:t>
      </w:r>
      <w:r>
        <w:t xml:space="preserve"> </w:t>
      </w:r>
      <w:r>
        <w:rPr>
          <w:b/>
          <w:bCs/>
        </w:rPr>
        <w:t xml:space="preserve">Nghị định 58/2020/NĐ-CP</w:t>
      </w:r>
      <w:r>
        <w:t xml:space="preserve">;</w:t>
      </w:r>
      <w:r>
        <w:t xml:space="preserve"> </w:t>
      </w:r>
      <w:r>
        <w:rPr>
          <w:b/>
          <w:bCs/>
        </w:rPr>
        <w:t xml:space="preserve">Quyết định 595/QĐ-BHXH</w:t>
      </w:r>
      <w:r>
        <w:t xml:space="preserve"> </w:t>
      </w:r>
      <w:r>
        <w:t xml:space="preserve">(2017).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Bên đóng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Tổng</w:t>
            </w:r>
          </w:p>
        </w:tc>
        <w:tc>
          <w:tcPr/>
          <w:p>
            <w:pPr>
              <w:pStyle w:val="Compact"/>
            </w:pPr>
            <w:r>
              <w:t xml:space="preserve">Hưu trí, tử tuất</w:t>
            </w:r>
          </w:p>
        </w:tc>
        <w:tc>
          <w:tcPr/>
          <w:p>
            <w:pPr>
              <w:pStyle w:val="Compact"/>
            </w:pPr>
            <w:r>
              <w:t xml:space="preserve">Ốm đau, thai sản</w:t>
            </w:r>
          </w:p>
        </w:tc>
        <w:tc>
          <w:tcPr/>
          <w:p>
            <w:pPr>
              <w:pStyle w:val="Compact"/>
            </w:pPr>
            <w:r>
              <w:t xml:space="preserve">TNLĐ, BNN</w:t>
            </w:r>
          </w:p>
        </w:tc>
        <w:tc>
          <w:tcPr/>
          <w:p>
            <w:pPr>
              <w:pStyle w:val="Compact"/>
            </w:pPr>
            <w:r>
              <w:t xml:space="preserve">BHTN</w:t>
            </w:r>
          </w:p>
        </w:tc>
        <w:tc>
          <w:tcPr/>
          <w:p>
            <w:pPr>
              <w:pStyle w:val="Compact"/>
            </w:pPr>
            <w:r>
              <w:t xml:space="preserve">BHYT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Người sử dụng lao động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21,5%</w:t>
            </w:r>
          </w:p>
        </w:tc>
        <w:tc>
          <w:tcPr/>
          <w:p>
            <w:pPr>
              <w:pStyle w:val="Compact"/>
            </w:pPr>
            <w:r>
              <w:t xml:space="preserve">14%</w:t>
            </w:r>
          </w:p>
        </w:tc>
        <w:tc>
          <w:tcPr/>
          <w:p>
            <w:pPr>
              <w:pStyle w:val="Compact"/>
            </w:pPr>
            <w:r>
              <w:t xml:space="preserve">3%</w:t>
            </w:r>
          </w:p>
        </w:tc>
        <w:tc>
          <w:tcPr/>
          <w:p>
            <w:pPr>
              <w:pStyle w:val="Compact"/>
            </w:pPr>
            <w:r>
              <w:t xml:space="preserve">0,5%</w:t>
            </w:r>
          </w:p>
        </w:tc>
        <w:tc>
          <w:tcPr/>
          <w:p>
            <w:pPr>
              <w:pStyle w:val="Compact"/>
            </w:pPr>
            <w:r>
              <w:t xml:space="preserve">1%</w:t>
            </w:r>
          </w:p>
        </w:tc>
        <w:tc>
          <w:tcPr/>
          <w:p>
            <w:pPr>
              <w:pStyle w:val="Compact"/>
            </w:pPr>
            <w:r>
              <w:t xml:space="preserve">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Người lao động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10,5%</w:t>
            </w:r>
          </w:p>
        </w:tc>
        <w:tc>
          <w:tcPr/>
          <w:p>
            <w:pPr>
              <w:pStyle w:val="Compact"/>
            </w:pPr>
            <w:r>
              <w:t xml:space="preserve">8%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1%</w:t>
            </w:r>
          </w:p>
        </w:tc>
        <w:tc>
          <w:tcPr/>
          <w:p>
            <w:pPr>
              <w:pStyle w:val="Compact"/>
            </w:pPr>
            <w:r>
              <w:t xml:space="preserve">1,5%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Tổng cộng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32%</w:t>
            </w:r>
          </w:p>
        </w:tc>
        <w:tc>
          <w:tcPr/>
          <w:p>
            <w:pPr>
              <w:pStyle w:val="Compact"/>
            </w:pPr>
            <w:r>
              <w:t xml:space="preserve">22%</w:t>
            </w:r>
          </w:p>
        </w:tc>
        <w:tc>
          <w:tcPr/>
          <w:p>
            <w:pPr>
              <w:pStyle w:val="Compact"/>
            </w:pPr>
            <w:r>
              <w:t xml:space="preserve">3%</w:t>
            </w:r>
          </w:p>
        </w:tc>
        <w:tc>
          <w:tcPr/>
          <w:p>
            <w:pPr>
              <w:pStyle w:val="Compact"/>
            </w:pPr>
            <w:r>
              <w:t xml:space="preserve">0,5%</w:t>
            </w:r>
          </w:p>
        </w:tc>
        <w:tc>
          <w:tcPr/>
          <w:p>
            <w:pPr>
              <w:pStyle w:val="Compact"/>
            </w:pPr>
            <w:r>
              <w:t xml:space="preserve">2%</w:t>
            </w:r>
          </w:p>
        </w:tc>
        <w:tc>
          <w:tcPr/>
          <w:p>
            <w:pPr>
              <w:pStyle w:val="Compact"/>
            </w:pPr>
            <w:r>
              <w:t xml:space="preserve">4,5%</w:t>
            </w:r>
          </w:p>
        </w:tc>
      </w:tr>
    </w:tbl>
    <w:p>
      <w:pPr>
        <w:pStyle w:val="BlockText"/>
      </w:pPr>
      <w:r>
        <w:rPr>
          <w:b/>
          <w:bCs/>
        </w:rPr>
        <w:t xml:space="preserve">Về con số</w:t>
      </w:r>
      <w:r>
        <w:rPr>
          <w:b/>
          <w:bCs/>
        </w:rPr>
        <w:t xml:space="preserve"> </w:t>
      </w:r>
      <w:r>
        <w:rPr>
          <w:b/>
          <w:bCs/>
        </w:rPr>
        <w:t xml:space="preserve">“22%”</w:t>
      </w:r>
      <w:r>
        <w:t xml:space="preserve">: Điều 32 Luật BHXH diễn đạt theo</w:t>
      </w:r>
      <w:r>
        <w:t xml:space="preserve"> </w:t>
      </w:r>
      <w:r>
        <w:rPr>
          <w:b/>
          <w:bCs/>
        </w:rPr>
        <w:t xml:space="preserve">quỹ</w:t>
      </w:r>
      <w:r>
        <w:t xml:space="preserve"> </w:t>
      </w:r>
      <w:r>
        <w:t xml:space="preserve">(3% vào quỹ ốm đau và thai sản,</w:t>
      </w:r>
      <w:r>
        <w:t xml:space="preserve"> </w:t>
      </w:r>
      <w:r>
        <w:t xml:space="preserve">22% vào quỹ hưu trí và tử tuất).</w:t>
      </w:r>
      <w:r>
        <w:t xml:space="preserve"> </w:t>
      </w:r>
      <w:r>
        <w:rPr>
          <w:b/>
          <w:bCs/>
        </w:rPr>
        <w:t xml:space="preserve">22% ở đây là tổng của 14% (đơn vị) và 8% (người lao động)</w:t>
      </w:r>
      <w:r>
        <w:t xml:space="preserve">,</w:t>
      </w:r>
      <w:r>
        <w:t xml:space="preserve"> </w:t>
      </w:r>
      <w:r>
        <w:t xml:space="preserve">không phải phần đóng riêng của đơn vị. Bản gốc trình bày theo quỹ trước rồi mới đến bảng</w:t>
      </w:r>
      <w:r>
        <w:t xml:space="preserve"> </w:t>
      </w:r>
      <w:r>
        <w:t xml:space="preserve">phân tách theo bên đóng — cả hai đều đúng, nhưng</w:t>
      </w:r>
      <w:r>
        <w:t xml:space="preserve"> </w:t>
      </w:r>
      <w:r>
        <w:rPr>
          <w:b/>
          <w:bCs/>
        </w:rPr>
        <w:t xml:space="preserve">đọc theo thứ tự đó rất dễ hiểu nhầm</w:t>
      </w:r>
      <w:r>
        <w:rPr>
          <w:b/>
          <w:bCs/>
        </w:rPr>
        <w:t xml:space="preserve"> </w:t>
      </w:r>
      <w:r>
        <w:rPr>
          <w:b/>
          <w:bCs/>
        </w:rPr>
        <w:t xml:space="preserve">22% là nghĩa vụ của đơn vị</w:t>
      </w:r>
      <w:r>
        <w:t xml:space="preserve">. Bản này trình bày theo bên đóng trước, quỹ để ở chú thích.</w:t>
      </w:r>
    </w:p>
    <w:bookmarkEnd w:id="15"/>
    <w:bookmarkStart w:id="16" w:name="tiền-lương-làm-căn-cứ-đóng"/>
    <w:p>
      <w:pPr>
        <w:pStyle w:val="Heading3"/>
      </w:pPr>
      <w:r>
        <w:t xml:space="preserve">3. Tiền lương làm căn cứ đóng</w:t>
      </w:r>
    </w:p>
    <w:p>
      <w:pPr>
        <w:pStyle w:val="FirstParagraph"/>
      </w:pPr>
      <w:r>
        <w:t xml:space="preserve">Theo khoản 1 Điều 31 Luật BHXH 2024:</w:t>
      </w:r>
    </w:p>
    <w:p>
      <w:pPr>
        <w:pStyle w:val="Compact"/>
        <w:numPr>
          <w:ilvl w:val="0"/>
          <w:numId w:val="1007"/>
        </w:numPr>
      </w:pPr>
      <w:r>
        <w:t xml:space="preserve">Với người lao động theo chế độ tiền lương do</w:t>
      </w:r>
      <w:r>
        <w:t xml:space="preserve"> </w:t>
      </w:r>
      <w:r>
        <w:rPr>
          <w:b/>
          <w:bCs/>
        </w:rPr>
        <w:t xml:space="preserve">người sử dụng lao động quyết định</w:t>
      </w:r>
      <w:r>
        <w:t xml:space="preserve">,</w:t>
      </w:r>
      <w:r>
        <w:t xml:space="preserve"> </w:t>
      </w:r>
      <w:r>
        <w:t xml:space="preserve">căn cứ đóng là</w:t>
      </w:r>
      <w:r>
        <w:t xml:space="preserve"> </w:t>
      </w:r>
      <w:r>
        <w:rPr>
          <w:b/>
          <w:bCs/>
        </w:rPr>
        <w:t xml:space="preserve">tiền lương tháng</w:t>
      </w:r>
      <w:r>
        <w:t xml:space="preserve">, gồm: tiền lương theo công việc hoặc chức danh,</w:t>
      </w:r>
      <w:r>
        <w:t xml:space="preserve"> </w:t>
      </w:r>
      <w:r>
        <w:t xml:space="preserve">phụ cấp lương, và các khoản bổ sung khác được trả</w:t>
      </w:r>
      <w:r>
        <w:t xml:space="preserve"> </w:t>
      </w:r>
      <w:r>
        <w:rPr>
          <w:b/>
          <w:bCs/>
        </w:rPr>
        <w:t xml:space="preserve">thường xuyên, ổn định</w:t>
      </w:r>
      <w:r>
        <w:t xml:space="preserve"> </w:t>
      </w:r>
      <w:r>
        <w:t xml:space="preserve">trong mỗi kỳ trả lương.</w:t>
      </w:r>
    </w:p>
    <w:p>
      <w:pPr>
        <w:pStyle w:val="Compact"/>
        <w:numPr>
          <w:ilvl w:val="0"/>
          <w:numId w:val="1007"/>
        </w:numPr>
      </w:pPr>
      <w:r>
        <w:t xml:space="preserve">Người lao động ngừng việc vẫn hưởng tiền lương tháng không thấp hơn mức đóng thấp nhất</w:t>
      </w:r>
      <w:r>
        <w:t xml:space="preserve"> </w:t>
      </w:r>
      <w:r>
        <w:t xml:space="preserve">thì đóng theo tiền lương thực tế của thời gian ngừng việc.</w:t>
      </w:r>
    </w:p>
    <w:p>
      <w:pPr>
        <w:pStyle w:val="Compact"/>
        <w:numPr>
          <w:ilvl w:val="0"/>
          <w:numId w:val="1007"/>
        </w:numPr>
      </w:pPr>
      <w:r>
        <w:t xml:space="preserve">Đối tượng tại điểm đ, e, k khoản 1 Điều 2: căn cứ đóng do Chính phủ quy định.</w:t>
      </w:r>
    </w:p>
    <w:p>
      <w:pPr>
        <w:pStyle w:val="Compact"/>
        <w:numPr>
          <w:ilvl w:val="0"/>
          <w:numId w:val="1007"/>
        </w:numPr>
      </w:pPr>
      <w:r>
        <w:t xml:space="preserve">Đối tượng tại điểm g, h, m, n khoản 1 Điều 2: được tự chọn căn cứ đóng,</w:t>
      </w:r>
      <w:r>
        <w:t xml:space="preserve"> </w:t>
      </w:r>
      <w:r>
        <w:t xml:space="preserve">không thấp hơn mức tham chiếu và không cao hơn 20 lần mức tham chiếu tại thời điểm đóng;</w:t>
      </w:r>
      <w:r>
        <w:t xml:space="preserve"> </w:t>
      </w:r>
      <w:r>
        <w:t xml:space="preserve">sau khi đóng đủ 12 tháng được chọn lại.</w:t>
      </w:r>
    </w:p>
    <w:p>
      <w:pPr>
        <w:pStyle w:val="FirstParagraph"/>
      </w:pPr>
      <w:r>
        <w:rPr>
          <w:b/>
          <w:bCs/>
        </w:rPr>
        <w:t xml:space="preserve">Mức sàn và mức trần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Giai đoạn</w:t>
            </w:r>
          </w:p>
        </w:tc>
        <w:tc>
          <w:tcPr/>
          <w:p>
            <w:pPr>
              <w:pStyle w:val="Compact"/>
            </w:pPr>
            <w:r>
              <w:t xml:space="preserve">Mức tham chiếu (= mức lương cơ sở)</w:t>
            </w:r>
          </w:p>
        </w:tc>
        <w:tc>
          <w:tcPr/>
          <w:p>
            <w:pPr>
              <w:pStyle w:val="Compact"/>
            </w:pPr>
            <w:r>
              <w:t xml:space="preserve">Mức đóng thấp nhất</w:t>
            </w:r>
          </w:p>
        </w:tc>
        <w:tc>
          <w:tcPr/>
          <w:p>
            <w:pPr>
              <w:pStyle w:val="Compact"/>
            </w:pPr>
            <w:r>
              <w:t xml:space="preserve">Mức trần (20 lần)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Đến</w:t>
            </w:r>
            <w:r>
              <w:t xml:space="preserve"> </w:t>
            </w:r>
            <w:r>
              <w:rPr>
                <w:b/>
                <w:bCs/>
              </w:rPr>
              <w:t xml:space="preserve">30/6/2026</w:t>
            </w:r>
          </w:p>
        </w:tc>
        <w:tc>
          <w:tcPr/>
          <w:p>
            <w:pPr>
              <w:pStyle w:val="Compact"/>
            </w:pPr>
            <w:r>
              <w:t xml:space="preserve">2.340.000 đồng/tháng</w:t>
            </w:r>
          </w:p>
        </w:tc>
        <w:tc>
          <w:tcPr/>
          <w:p>
            <w:pPr>
              <w:pStyle w:val="Compact"/>
            </w:pPr>
            <w:r>
              <w:t xml:space="preserve">2.340.000</w:t>
            </w:r>
          </w:p>
        </w:tc>
        <w:tc>
          <w:tcPr/>
          <w:p>
            <w:pPr>
              <w:pStyle w:val="Compact"/>
            </w:pPr>
            <w:r>
              <w:t xml:space="preserve">46.800.000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Từ</w:t>
            </w:r>
            <w:r>
              <w:t xml:space="preserve"> </w:t>
            </w:r>
            <w:r>
              <w:rPr>
                <w:b/>
                <w:bCs/>
              </w:rPr>
              <w:t xml:space="preserve">01/7/2026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2.530.000 đồng/tháng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2.530.000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50.600.000</w:t>
            </w:r>
          </w:p>
        </w:tc>
      </w:tr>
    </w:tbl>
    <w:p>
      <w:pPr>
        <w:pStyle w:val="BlockText"/>
      </w:pPr>
      <w:r>
        <w:rPr>
          <w:b/>
          <w:bCs/>
        </w:rPr>
        <w:t xml:space="preserve">Đây là nội dung sửa quan trọng nhất của bản này.</w:t>
      </w:r>
      <w:r>
        <w:t xml:space="preserve"> </w:t>
      </w:r>
      <w:r>
        <w:t xml:space="preserve">Bản gốc ghi</w:t>
      </w:r>
      <w:r>
        <w:t xml:space="preserve"> </w:t>
      </w:r>
      <w:r>
        <w:t xml:space="preserve">“theo Nghị định</w:t>
      </w:r>
      <w:r>
        <w:t xml:space="preserve"> </w:t>
      </w:r>
      <w:r>
        <w:t xml:space="preserve">73/2024/NĐ-CP, mức lương cơ sở hiện nay là</w:t>
      </w:r>
      <w:r>
        <w:t xml:space="preserve"> </w:t>
      </w:r>
      <w:r>
        <w:rPr>
          <w:b/>
          <w:bCs/>
        </w:rPr>
        <w:t xml:space="preserve">2.340.000</w:t>
      </w:r>
      <w:r>
        <w:t xml:space="preserve"> </w:t>
      </w:r>
      <w:r>
        <w:t xml:space="preserve">đồng/tháng”</w:t>
      </w:r>
      <w:r>
        <w:t xml:space="preserve"> </w:t>
      </w:r>
      <w:r>
        <w:t xml:space="preserve">— con số đó</w:t>
      </w:r>
      <w:r>
        <w:t xml:space="preserve"> </w:t>
      </w:r>
      <w:r>
        <w:rPr>
          <w:b/>
          <w:bCs/>
        </w:rPr>
        <w:t xml:space="preserve">chỉ áp dụng đến 30/6/2026</w:t>
      </w:r>
      <w:r>
        <w:t xml:space="preserve">. Từ 01/7/2026 là</w:t>
      </w:r>
      <w:r>
        <w:t xml:space="preserve"> </w:t>
      </w:r>
      <w:r>
        <w:rPr>
          <w:b/>
          <w:bCs/>
        </w:rPr>
        <w:t xml:space="preserve">2.530.000</w:t>
      </w:r>
      <w:r>
        <w:t xml:space="preserve">, mức trần đóng tăng lên</w:t>
      </w:r>
      <w:r>
        <w:t xml:space="preserve"> </w:t>
      </w:r>
      <w:r>
        <w:rPr>
          <w:b/>
          <w:bCs/>
        </w:rPr>
        <w:t xml:space="preserve">50.600.000 đồng/tháng</w:t>
      </w:r>
      <w:r>
        <w:t xml:space="preserve">. Dùng con số cũ sẽ</w:t>
      </w:r>
      <w:r>
        <w:t xml:space="preserve"> </w:t>
      </w:r>
      <w:r>
        <w:rPr>
          <w:b/>
          <w:bCs/>
        </w:rPr>
        <w:t xml:space="preserve">tính thiếu mức trần khoảng 8%</w:t>
      </w:r>
      <w:r>
        <w:t xml:space="preserve">.</w:t>
      </w:r>
      <w:r>
        <w:t xml:space="preserve"> </w:t>
      </w:r>
      <w:r>
        <w:t xml:space="preserve">Hai con số 2.530.000 và 50.600.000 được xác nhận bởi</w:t>
      </w:r>
      <w:r>
        <w:t xml:space="preserve"> </w:t>
      </w:r>
      <w:r>
        <w:rPr>
          <w:b/>
          <w:bCs/>
        </w:rPr>
        <w:t xml:space="preserve">cổng thông tin Bảo hiểm xã hội Việt Nam (baohiemxahoi.gov.vn)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Cơ chế</w:t>
      </w:r>
      <w:r>
        <w:t xml:space="preserve">: theo khoản 13 Điều 141 Luật BHXH, khi Nhà nước chưa bãi bỏ</w:t>
      </w:r>
      <w:r>
        <w:t xml:space="preserve"> </w:t>
      </w:r>
      <w:r>
        <w:t xml:space="preserve">“mức lương cơ sở”</w:t>
      </w:r>
      <w:r>
        <w:t xml:space="preserve"> </w:t>
      </w:r>
      <w:r>
        <w:t xml:space="preserve">thì</w:t>
      </w:r>
      <w:r>
        <w:t xml:space="preserve"> </w:t>
      </w:r>
      <w:r>
        <w:t xml:space="preserve">“mức tham chiếu”</w:t>
      </w:r>
      <w:r>
        <w:t xml:space="preserve"> </w:t>
      </w:r>
      <w:r>
        <w:t xml:space="preserve">bằng mức lương cơ sở; nếu mức lương cơ sở bị bãi bỏ,</w:t>
      </w:r>
      <w:r>
        <w:t xml:space="preserve"> </w:t>
      </w:r>
      <w:r>
        <w:t xml:space="preserve">mức tham chiếu không thấp hơn mức cũ. Tính đến ngày rà soát, cơ quan có thẩm quyền</w:t>
      </w:r>
      <w:r>
        <w:t xml:space="preserve"> </w:t>
      </w:r>
      <w:r>
        <w:t xml:space="preserve">chưa ban hành quy định bãi bỏ hoặc điều chỉnh mức lương cơ sở.</w:t>
      </w:r>
    </w:p>
    <w:p>
      <w:pPr>
        <w:pStyle w:val="BlockText"/>
      </w:pPr>
      <w:r>
        <w:rPr>
          <w:b/>
          <w:bCs/>
        </w:rPr>
        <w:t xml:space="preserve">〔Chưa xác nhận〕</w:t>
      </w:r>
      <w:r>
        <w:t xml:space="preserve"> </w:t>
      </w:r>
      <w:r>
        <w:t xml:space="preserve">số hiệu văn bản ấn định mức 2.530.000. Bài viết chính thức của</w:t>
      </w:r>
      <w:r>
        <w:t xml:space="preserve"> </w:t>
      </w:r>
      <w:r>
        <w:t xml:space="preserve">cơ quan BHXH chỉ dẫn Luật BHXH 2024, không nêu số hiệu nghị định; bản này vì vậy</w:t>
      </w:r>
      <w:r>
        <w:t xml:space="preserve"> </w:t>
      </w:r>
      <w:r>
        <w:t xml:space="preserve">ghi số tiền và ngày áp dụng, không ghi số hiệu.</w:t>
      </w:r>
    </w:p>
    <w:p>
      <w:pPr>
        <w:pStyle w:val="FirstParagraph"/>
      </w:pPr>
      <w:r>
        <w:rPr>
          <w:b/>
          <w:bCs/>
        </w:rPr>
        <w:t xml:space="preserve">Một mức sàn khác</w:t>
      </w:r>
      <w:r>
        <w:t xml:space="preserve">: theo điểm 2.6 khoản 2 Điều 6 Quy trình ban hành kèm</w:t>
      </w:r>
      <w:r>
        <w:t xml:space="preserve"> </w:t>
      </w:r>
      <w:r>
        <w:t xml:space="preserve">Quyết định 595/QĐ-BHXH, tiền lương tháng đóng BHXH bắt buộc</w:t>
      </w:r>
      <w:r>
        <w:t xml:space="preserve"> </w:t>
      </w:r>
      <w:r>
        <w:rPr>
          <w:b/>
          <w:bCs/>
        </w:rPr>
        <w:t xml:space="preserve">không được thấp hơn</w:t>
      </w:r>
      <w:r>
        <w:rPr>
          <w:b/>
          <w:bCs/>
        </w:rPr>
        <w:t xml:space="preserve"> </w:t>
      </w:r>
      <w:r>
        <w:rPr>
          <w:b/>
          <w:bCs/>
        </w:rPr>
        <w:t xml:space="preserve">mức lương tối thiểu vùng</w:t>
      </w:r>
      <w:r>
        <w:t xml:space="preserve"> </w:t>
      </w:r>
      <w:r>
        <w:t xml:space="preserve">tại thời điểm đóng (áp dụng với người làm công việc giản đơn nhất</w:t>
      </w:r>
      <w:r>
        <w:t xml:space="preserve"> </w:t>
      </w:r>
      <w:r>
        <w:t xml:space="preserve">trong điều kiện lao động bình thường).</w:t>
      </w:r>
    </w:p>
    <w:p>
      <w:pPr>
        <w:pStyle w:val="BlockText"/>
      </w:pPr>
      <w:r>
        <w:t xml:space="preserve">Do đó, từ</w:t>
      </w:r>
      <w:r>
        <w:t xml:space="preserve"> </w:t>
      </w:r>
      <w:r>
        <w:rPr>
          <w:b/>
          <w:bCs/>
        </w:rPr>
        <w:t xml:space="preserve">01/01/2026</w:t>
      </w:r>
      <w:r>
        <w:t xml:space="preserve"> </w:t>
      </w:r>
      <w:r>
        <w:t xml:space="preserve">(ngày mức lương tối thiểu vùng mới có hiệu lực),</w:t>
      </w:r>
      <w:r>
        <w:t xml:space="preserve"> </w:t>
      </w:r>
      <w:r>
        <w:t xml:space="preserve">tiền lương làm căn cứ đóng cũng phải được điều chỉnh tăng tương ứng.</w:t>
      </w:r>
      <w:r>
        <w:t xml:space="preserve"> </w:t>
      </w:r>
      <w:r>
        <w:rPr>
          <w:b/>
          <w:bCs/>
        </w:rPr>
        <w:t xml:space="preserve">Mức lương tối thiểu vùng 2026</w:t>
      </w:r>
      <w:r>
        <w:t xml:space="preserve"> </w:t>
      </w:r>
      <w:r>
        <w:t xml:space="preserve">(Nghị định 293/2025/NĐ-CP):</w:t>
      </w:r>
      <w:r>
        <w:t xml:space="preserve"> </w:t>
      </w:r>
      <w:r>
        <w:t xml:space="preserve">Vùng I 5.310.000 / Vùng II 4.730.000 / Vùng III 4.140.000 / Vùng IV 3.700.000 đồng/tháng.</w:t>
      </w:r>
    </w:p>
    <w:bookmarkEnd w:id="16"/>
    <w:bookmarkStart w:id="17" w:name="các-bước-thực-hiện"/>
    <w:p>
      <w:pPr>
        <w:pStyle w:val="Heading3"/>
      </w:pPr>
      <w:r>
        <w:t xml:space="preserve">4. Các bước thực hiện</w:t>
      </w:r>
    </w:p>
    <w:p>
      <w:pPr>
        <w:pStyle w:val="FirstParagraph"/>
      </w:pPr>
      <w:r>
        <w:rPr>
          <w:b/>
          <w:bCs/>
        </w:rPr>
        <w:t xml:space="preserve">Bước 1: Đăng ký mã đơn vị BHXH</w:t>
      </w:r>
    </w:p>
    <w:p>
      <w:pPr>
        <w:pStyle w:val="Compact"/>
        <w:numPr>
          <w:ilvl w:val="0"/>
          <w:numId w:val="1008"/>
        </w:numPr>
      </w:pPr>
      <w:r>
        <w:t xml:space="preserve">Hồ sơ: bản sao có chứng thực Giấy chứng nhận đăng ký doanh nghiệp;</w:t>
      </w:r>
      <w:r>
        <w:t xml:space="preserve"> </w:t>
      </w:r>
      <w:r>
        <w:t xml:space="preserve">Tờ khai đơn vị tham gia BHXH theo mẫu</w:t>
      </w:r>
      <w:r>
        <w:t xml:space="preserve"> </w:t>
      </w:r>
      <w:r>
        <w:rPr>
          <w:b/>
          <w:bCs/>
        </w:rPr>
        <w:t xml:space="preserve">TK3-TS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Nộp tại cơ quan BHXH quận/huyện nơi đặt trụ sở, theo một trong hai cách:</w:t>
      </w:r>
    </w:p>
    <w:p>
      <w:pPr>
        <w:pStyle w:val="Compact"/>
        <w:numPr>
          <w:ilvl w:val="1"/>
          <w:numId w:val="1009"/>
        </w:numPr>
      </w:pPr>
      <w:r>
        <w:t xml:space="preserve">nộp trực tiếp hồ sơ giấy; hoặc</w:t>
      </w:r>
    </w:p>
    <w:p>
      <w:pPr>
        <w:pStyle w:val="Compact"/>
        <w:numPr>
          <w:ilvl w:val="1"/>
          <w:numId w:val="1009"/>
        </w:numPr>
      </w:pPr>
      <w:r>
        <w:t xml:space="preserve">nộp trực tuyến qua phần mềm kê khai BHXH điện tử (xác thực bằng chữ ký số),</w:t>
      </w:r>
      <w:r>
        <w:t xml:space="preserve"> </w:t>
      </w:r>
      <w:r>
        <w:t xml:space="preserve">hoặc qua Cổng thông tin điện tử BHXH Việt Nam.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Lưu ý</w:t>
      </w:r>
      <w:r>
        <w:t xml:space="preserve">: một số cơ quan BHXH địa phương vẫn yêu cầu bổ sung hồ sơ giấy sau khi đăng ký trực tuyến.</w:t>
      </w:r>
    </w:p>
    <w:p>
      <w:pPr>
        <w:pStyle w:val="Compact"/>
        <w:numPr>
          <w:ilvl w:val="0"/>
          <w:numId w:val="1008"/>
        </w:numPr>
      </w:pPr>
      <w:r>
        <w:t xml:space="preserve">Cơ quan BHXH thẩm định và cấp mã đơn vị trong</w:t>
      </w:r>
      <w:r>
        <w:t xml:space="preserve"> </w:t>
      </w:r>
      <w:r>
        <w:rPr>
          <w:b/>
          <w:bCs/>
        </w:rPr>
        <w:t xml:space="preserve">tối đa 7 ngày làm việc</w:t>
      </w:r>
      <w:r>
        <w:t xml:space="preserve">;</w:t>
      </w:r>
      <w:r>
        <w:t xml:space="preserve"> </w:t>
      </w:r>
      <w:r>
        <w:t xml:space="preserve">thực tế thường 1–2 ngày làm việc.</w:t>
      </w:r>
    </w:p>
    <w:p>
      <w:pPr>
        <w:pStyle w:val="FirstParagraph"/>
      </w:pPr>
      <w:r>
        <w:rPr>
          <w:b/>
          <w:bCs/>
        </w:rPr>
        <w:t xml:space="preserve">Bước 2: Kê khai và đăng ký tăng lao động</w:t>
      </w:r>
    </w:p>
    <w:p>
      <w:pPr>
        <w:pStyle w:val="BodyText"/>
      </w:pPr>
      <w:r>
        <w:t xml:space="preserve">Khi kê khai trên Cổng dịch vụ công BHXH:</w:t>
      </w:r>
    </w:p>
    <w:p>
      <w:pPr>
        <w:pStyle w:val="Compact"/>
        <w:numPr>
          <w:ilvl w:val="0"/>
          <w:numId w:val="1010"/>
        </w:numPr>
      </w:pPr>
      <w:r>
        <w:t xml:space="preserve">Đăng nhập bằng tài khoản đã cấp; trước khi kê khai, điền thông tin tại phân hệ</w:t>
      </w:r>
      <w:r>
        <w:t xml:space="preserve"> </w:t>
      </w:r>
      <w:r>
        <w:t xml:space="preserve">“Quản lý lao động”</w:t>
      </w:r>
      <w:r>
        <w:t xml:space="preserve"> </w:t>
      </w:r>
      <w:r>
        <w:t xml:space="preserve">và</w:t>
      </w:r>
      <w:r>
        <w:t xml:space="preserve"> </w:t>
      </w:r>
      <w:r>
        <w:t xml:space="preserve">“Quản lý phòng ban”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Chọn</w:t>
      </w:r>
      <w:r>
        <w:t xml:space="preserve"> </w:t>
      </w:r>
      <w:r>
        <w:t xml:space="preserve">“Kê khai hồ sơ”</w:t>
      </w:r>
      <w:r>
        <w:t xml:space="preserve"> </w:t>
      </w:r>
      <w:r>
        <w:t xml:space="preserve">→ hồ sơ</w:t>
      </w:r>
      <w:r>
        <w:t xml:space="preserve"> </w:t>
      </w:r>
      <w:r>
        <w:rPr>
          <w:b/>
          <w:bCs/>
        </w:rPr>
        <w:t xml:space="preserve">600</w:t>
      </w:r>
      <w:r>
        <w:t xml:space="preserve"> </w:t>
      </w:r>
      <w:r>
        <w:t xml:space="preserve">→ chọn kỳ kê khai → kê khai tại mẫu</w:t>
      </w:r>
      <w:r>
        <w:t xml:space="preserve"> </w:t>
      </w:r>
      <w:r>
        <w:rPr>
          <w:b/>
          <w:bCs/>
        </w:rPr>
        <w:t xml:space="preserve">D02-LT</w:t>
      </w:r>
      <w:r>
        <w:t xml:space="preserve"> </w:t>
      </w:r>
      <w:r>
        <w:t xml:space="preserve">với người lao động đã ký hợp đồng lao động chính thức;</w:t>
      </w:r>
    </w:p>
    <w:p>
      <w:pPr>
        <w:pStyle w:val="Compact"/>
        <w:numPr>
          <w:ilvl w:val="0"/>
          <w:numId w:val="1010"/>
        </w:numPr>
      </w:pPr>
      <w:r>
        <w:t xml:space="preserve">Điền thông tin người lao động (số CCCD, xác nhận cư trú/sổ hộ khẩu/mã số BHXH,</w:t>
      </w:r>
      <w:r>
        <w:t xml:space="preserve"> </w:t>
      </w:r>
      <w:r>
        <w:t xml:space="preserve">nơi đăng ký khám chữa bệnh ban đầu), tiền lương đóng BHXH, phụ cấp, chức vụ, thời hạn hợp đồng;</w:t>
      </w:r>
    </w:p>
    <w:p>
      <w:pPr>
        <w:pStyle w:val="Compact"/>
        <w:numPr>
          <w:ilvl w:val="0"/>
          <w:numId w:val="1010"/>
        </w:numPr>
      </w:pPr>
      <w:r>
        <w:t xml:space="preserve">Kiểm tra lại và ký số nộp hồ sơ.</w:t>
      </w:r>
    </w:p>
    <w:p>
      <w:pPr>
        <w:pStyle w:val="FirstParagraph"/>
      </w:pPr>
      <w:r>
        <w:rPr>
          <w:b/>
          <w:bCs/>
        </w:rPr>
        <w:t xml:space="preserve">Thời hạn giải quyết</w:t>
      </w:r>
      <w:r>
        <w:t xml:space="preserve">: không quá</w:t>
      </w:r>
      <w:r>
        <w:t xml:space="preserve"> </w:t>
      </w:r>
      <w:r>
        <w:rPr>
          <w:b/>
          <w:bCs/>
        </w:rPr>
        <w:t xml:space="preserve">10 ngày làm việc</w:t>
      </w:r>
      <w:r>
        <w:t xml:space="preserve"> </w:t>
      </w:r>
      <w:r>
        <w:t xml:space="preserve">kể từ ngày cơ quan BHXH</w:t>
      </w:r>
      <w:r>
        <w:t xml:space="preserve"> </w:t>
      </w:r>
      <w:r>
        <w:t xml:space="preserve">nhận đủ hồ sơ hợp lệ.</w:t>
      </w:r>
    </w:p>
    <w:p>
      <w:pPr>
        <w:pStyle w:val="BodyText"/>
      </w:pPr>
      <w:r>
        <w:rPr>
          <w:b/>
          <w:bCs/>
        </w:rPr>
        <w:t xml:space="preserve">Bước 3: Đóng tiền hằng tháng</w:t>
      </w:r>
    </w:p>
    <w:p>
      <w:pPr>
        <w:pStyle w:val="BodyText"/>
      </w:pPr>
      <w:r>
        <w:t xml:space="preserve">Hằng tháng, doanh nghiệp căn cứ mẫu</w:t>
      </w:r>
      <w:r>
        <w:t xml:space="preserve"> </w:t>
      </w:r>
      <w:r>
        <w:rPr>
          <w:b/>
          <w:bCs/>
        </w:rPr>
        <w:t xml:space="preserve">C12</w:t>
      </w:r>
      <w:r>
        <w:t xml:space="preserve"> </w:t>
      </w:r>
      <w:r>
        <w:t xml:space="preserve">do cơ quan BHXH cung cấp</w:t>
      </w:r>
      <w:r>
        <w:t xml:space="preserve"> </w:t>
      </w:r>
      <w:r>
        <w:t xml:space="preserve">để nộp tiền qua tài khoản ngân hàng.</w:t>
      </w:r>
    </w:p>
    <w:p>
      <w:r>
        <w:pict>
          <v:rect style="width:0;height:1.5pt" o:hralign="center" o:hrstd="t" o:hr="t"/>
        </w:pict>
      </w:r>
    </w:p>
    <w:bookmarkEnd w:id="17"/>
    <w:bookmarkEnd w:id="18"/>
    <w:bookmarkStart w:id="25" w:name="phần-iii-khấu-trừ-thuế-thu-nhập-cá-nhân"/>
    <w:p>
      <w:pPr>
        <w:pStyle w:val="Heading2"/>
      </w:pPr>
      <w:r>
        <w:t xml:space="preserve">PHẦN III: KHẤU TRỪ THUẾ THU NHẬP CÁ NHÂN</w:t>
      </w:r>
    </w:p>
    <w:bookmarkStart w:id="19" w:name="luật-áp-dụng"/>
    <w:p>
      <w:pPr>
        <w:pStyle w:val="Heading3"/>
      </w:pPr>
      <w:r>
        <w:t xml:space="preserve">1. Luật áp dụng</w:t>
      </w:r>
    </w:p>
    <w:p>
      <w:pPr>
        <w:pStyle w:val="FirstParagraph"/>
      </w:pPr>
      <w:r>
        <w:rPr>
          <w:b/>
          <w:bCs/>
        </w:rPr>
        <w:t xml:space="preserve">Luật Thuế thu nhập cá nhân số 109/2025/QH15</w:t>
      </w:r>
      <w:r>
        <w:t xml:space="preserve">, Quốc hội thông qua ngày 10/12/2025,</w:t>
      </w:r>
      <w:r>
        <w:t xml:space="preserve"> </w:t>
      </w:r>
      <w:r>
        <w:t xml:space="preserve">gồm 4 chương, 29 điều,</w:t>
      </w:r>
      <w:r>
        <w:t xml:space="preserve"> </w:t>
      </w:r>
      <w:r>
        <w:rPr>
          <w:b/>
          <w:bCs/>
        </w:rPr>
        <w:t xml:space="preserve">hiệu lực từ 01/7/2026</w:t>
      </w:r>
      <w:r>
        <w:t xml:space="preserve">; các quy định về thu nhập từ kinh doanh</w:t>
      </w:r>
      <w:r>
        <w:t xml:space="preserve"> </w:t>
      </w:r>
      <w:r>
        <w:t xml:space="preserve">và thu nhập từ tiền lương, tiền công của cá nhân cư trú</w:t>
      </w:r>
      <w:r>
        <w:t xml:space="preserve"> </w:t>
      </w:r>
      <w:r>
        <w:rPr>
          <w:b/>
          <w:bCs/>
        </w:rPr>
        <w:t xml:space="preserve">áp dụng từ kỳ tính thuế năm 2026</w:t>
      </w:r>
      <w:r>
        <w:t xml:space="preserve">.</w:t>
      </w:r>
    </w:p>
    <w:bookmarkEnd w:id="19"/>
    <w:bookmarkStart w:id="20" w:name="tư-cách-người-nộp-thuế"/>
    <w:p>
      <w:pPr>
        <w:pStyle w:val="Heading3"/>
      </w:pPr>
      <w:r>
        <w:t xml:space="preserve">2. Tư cách người nộp thuế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Cá nhân cư trú</w:t>
      </w:r>
      <w:r>
        <w:t xml:space="preserve">: đáp ứng một trong hai điều kiện —</w:t>
      </w:r>
    </w:p>
    <w:p>
      <w:pPr>
        <w:pStyle w:val="Compact"/>
        <w:numPr>
          <w:ilvl w:val="1"/>
          <w:numId w:val="1012"/>
        </w:numPr>
      </w:pPr>
      <w:r>
        <w:t xml:space="preserve">có mặt tại Việt Nam</w:t>
      </w:r>
      <w:r>
        <w:t xml:space="preserve"> </w:t>
      </w:r>
      <w:r>
        <w:rPr>
          <w:b/>
          <w:bCs/>
        </w:rPr>
        <w:t xml:space="preserve">từ 183 ngày trở lên</w:t>
      </w:r>
      <w:r>
        <w:t xml:space="preserve"> </w:t>
      </w:r>
      <w:r>
        <w:t xml:space="preserve">trong một năm dương lịch kể từ ngày</w:t>
      </w:r>
      <w:r>
        <w:t xml:space="preserve"> </w:t>
      </w:r>
      <w:r>
        <w:t xml:space="preserve">nhập cảnh lần đầu, hoặc trong 12 tháng liên tục;</w:t>
      </w:r>
    </w:p>
    <w:p>
      <w:pPr>
        <w:pStyle w:val="Compact"/>
        <w:numPr>
          <w:ilvl w:val="1"/>
          <w:numId w:val="1012"/>
        </w:numPr>
      </w:pPr>
      <w:r>
        <w:t xml:space="preserve">có nơi ở thường xuyên tại Việt Nam (nơi đăng ký thường trú, hoặc nơi ở theo</w:t>
      </w:r>
      <w:r>
        <w:t xml:space="preserve"> </w:t>
      </w:r>
      <w:r>
        <w:t xml:space="preserve">hợp đồng thuê nhà có thời hạn xác định).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Cá nhân không cư trú</w:t>
      </w:r>
      <w:r>
        <w:t xml:space="preserve">: không đáp ứng các điều kiện trên.</w:t>
      </w:r>
    </w:p>
    <w:p>
      <w:pPr>
        <w:pStyle w:val="BlockText"/>
      </w:pPr>
      <w:r>
        <w:rPr>
          <w:b/>
          <w:bCs/>
        </w:rPr>
        <w:t xml:space="preserve">〔Bản này ghi nhận có bảo lưu〕</w:t>
      </w:r>
      <w:r>
        <w:t xml:space="preserve"> </w:t>
      </w:r>
      <w:r>
        <w:t xml:space="preserve">Tiêu chí trên lấy từ tài liệu gốc,</w:t>
      </w:r>
      <w:r>
        <w:t xml:space="preserve"> </w:t>
      </w:r>
      <w:r>
        <w:rPr>
          <w:b/>
          <w:bCs/>
        </w:rPr>
        <w:t xml:space="preserve">chưa được rà soát độc lập tới văn bản pháp luật</w:t>
      </w:r>
      <w:r>
        <w:t xml:space="preserve">. Việc xác định tư cách cư trú</w:t>
      </w:r>
      <w:r>
        <w:t xml:space="preserve"> </w:t>
      </w:r>
      <w:r>
        <w:t xml:space="preserve">quyết định trực tiếp việc áp dụng biểu lũy tiến 5 bậc hay thuế suất 20%,</w:t>
      </w:r>
      <w:r>
        <w:t xml:space="preserve"> </w:t>
      </w:r>
      <w:r>
        <w:t xml:space="preserve">ảnh hưởng rất lớn; trường hợp cụ thể vui lòng theo xác nhận của cơ quan thuế hoặc chuyên gia thuế.</w:t>
      </w:r>
    </w:p>
    <w:bookmarkEnd w:id="20"/>
    <w:bookmarkStart w:id="21" w:name="X7259346065edcb2036782f2dea86cb4c919c6f6"/>
    <w:p>
      <w:pPr>
        <w:pStyle w:val="Heading3"/>
      </w:pPr>
      <w:r>
        <w:t xml:space="preserve">3. Cá nhân cư trú có hợp đồng lao động từ 03 tháng trở lên</w:t>
      </w:r>
    </w:p>
    <w:p>
      <w:pPr>
        <w:pStyle w:val="FirstParagraph"/>
      </w:pPr>
      <w:r>
        <w:t xml:space="preserve">Khấu trừ theo</w:t>
      </w:r>
      <w:r>
        <w:t xml:space="preserve"> </w:t>
      </w:r>
      <w:r>
        <w:rPr>
          <w:b/>
          <w:bCs/>
        </w:rPr>
        <w:t xml:space="preserve">biểu lũy tiến từng phần</w:t>
      </w:r>
      <w:r>
        <w:t xml:space="preserve"> </w:t>
      </w:r>
      <w:r>
        <w:t xml:space="preserve">(kể cả trường hợp làm việc tại nhiều đơn vị</w:t>
      </w:r>
      <w:r>
        <w:t xml:space="preserve"> </w:t>
      </w:r>
      <w:r>
        <w:t xml:space="preserve">hoặc chấm dứt hợp đồng trước thời hạn).</w:t>
      </w:r>
    </w:p>
    <w:p>
      <w:pPr>
        <w:pStyle w:val="BodyText"/>
      </w:pPr>
      <w:r>
        <w:rPr>
          <w:b/>
          <w:bCs/>
        </w:rPr>
        <w:t xml:space="preserve">Thuế TNCN phải nộp = Thu nhập tính thuế × Thuế suất</w:t>
      </w:r>
    </w:p>
    <w:p>
      <w:pPr>
        <w:pStyle w:val="BodyText"/>
      </w:pPr>
      <w:r>
        <w:rPr>
          <w:b/>
          <w:bCs/>
        </w:rPr>
        <w:t xml:space="preserve">Thu nhập tính thuế = Thu nhập chịu thuế − Các khoản giảm trừ</w:t>
      </w:r>
      <w:r>
        <w:t xml:space="preserve">, gồm:</w:t>
      </w:r>
    </w:p>
    <w:p>
      <w:pPr>
        <w:pStyle w:val="Compact"/>
        <w:numPr>
          <w:ilvl w:val="0"/>
          <w:numId w:val="1013"/>
        </w:numPr>
      </w:pPr>
      <w:r>
        <w:t xml:space="preserve">Giảm trừ gia cảnh;</w:t>
      </w:r>
    </w:p>
    <w:p>
      <w:pPr>
        <w:pStyle w:val="Compact"/>
        <w:numPr>
          <w:ilvl w:val="0"/>
          <w:numId w:val="1013"/>
        </w:numPr>
      </w:pPr>
      <w:r>
        <w:t xml:space="preserve">Các khoản bảo hiểm, quỹ hưu trí tự nguyện bổ sung;</w:t>
      </w:r>
    </w:p>
    <w:p>
      <w:pPr>
        <w:pStyle w:val="Compact"/>
        <w:numPr>
          <w:ilvl w:val="0"/>
          <w:numId w:val="1013"/>
        </w:numPr>
      </w:pPr>
      <w:r>
        <w:t xml:space="preserve">Các khoản đóng góp từ thiện, nhân đạo, khuyến học.</w:t>
      </w:r>
    </w:p>
    <w:p>
      <w:pPr>
        <w:pStyle w:val="FirstParagraph"/>
      </w:pPr>
      <w:r>
        <w:rPr>
          <w:b/>
          <w:bCs/>
        </w:rPr>
        <w:t xml:space="preserve">Mức giảm trừ gia cảnh</w:t>
      </w:r>
      <w:r>
        <w:t xml:space="preserve"> </w:t>
      </w:r>
      <w:r>
        <w:t xml:space="preserve">(Điều 10 Luật 109/2025/QH15, từ kỳ tính thuế 2026):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Đối tượng</w:t>
            </w:r>
          </w:p>
        </w:tc>
        <w:tc>
          <w:tcPr/>
          <w:p>
            <w:pPr>
              <w:pStyle w:val="Compact"/>
            </w:pPr>
            <w:r>
              <w:t xml:space="preserve">Mức</w:t>
            </w:r>
          </w:p>
        </w:tc>
      </w:tr>
      <w:tr>
        <w:tc>
          <w:tcPr/>
          <w:p>
            <w:pPr>
              <w:pStyle w:val="Compact"/>
            </w:pPr>
            <w:r>
              <w:t xml:space="preserve">Bản thân người nộp thuế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15,5 triệu đồng/tháng</w:t>
            </w:r>
            <w:r>
              <w:t xml:space="preserve"> </w:t>
            </w:r>
            <w:r>
              <w:t xml:space="preserve">(186 triệu/năm)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Mỗi người phụ thuộc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6,2 triệu đồng/tháng</w:t>
            </w:r>
          </w:p>
        </w:tc>
      </w:tr>
    </w:tbl>
    <w:p>
      <w:pPr>
        <w:pStyle w:val="BodyText"/>
      </w:pPr>
      <w:r>
        <w:rPr>
          <w:b/>
          <w:bCs/>
        </w:rPr>
        <w:t xml:space="preserve">Biểu thuế lũy tiến</w:t>
      </w:r>
      <w:r>
        <w:t xml:space="preserve"> </w:t>
      </w:r>
      <w:r>
        <w:t xml:space="preserve">(Điều 9 Luật 109/2025/QH15,</w:t>
      </w:r>
      <w:r>
        <w:t xml:space="preserve"> </w:t>
      </w:r>
      <w:r>
        <w:rPr>
          <w:b/>
          <w:bCs/>
        </w:rPr>
        <w:t xml:space="preserve">5 bậc</w:t>
      </w:r>
      <w:r>
        <w:t xml:space="preserve">,</w:t>
      </w:r>
      <w:r>
        <w:t xml:space="preserve"> </w:t>
      </w:r>
      <w:r>
        <w:t xml:space="preserve">thay biểu 7 bậc tại Thông tư 111/2013/TT-BTC):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Bậc</w:t>
            </w:r>
          </w:p>
        </w:tc>
        <w:tc>
          <w:tcPr/>
          <w:p>
            <w:pPr>
              <w:pStyle w:val="Compact"/>
            </w:pPr>
            <w:r>
              <w:t xml:space="preserve">Thu nhập tính thuế/tháng (VNĐ)</w:t>
            </w:r>
          </w:p>
        </w:tc>
        <w:tc>
          <w:tcPr/>
          <w:p>
            <w:pPr>
              <w:pStyle w:val="Compact"/>
            </w:pPr>
            <w:r>
              <w:t xml:space="preserve">Thu nhập tính thuế/năm (VNĐ)</w:t>
            </w:r>
          </w:p>
        </w:tc>
        <w:tc>
          <w:tcPr/>
          <w:p>
            <w:pPr>
              <w:pStyle w:val="Compact"/>
            </w:pPr>
            <w:r>
              <w:t xml:space="preserve">Thuế suất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Đến 10 triệu</w:t>
            </w:r>
          </w:p>
        </w:tc>
        <w:tc>
          <w:tcPr/>
          <w:p>
            <w:pPr>
              <w:pStyle w:val="Compact"/>
            </w:pPr>
            <w:r>
              <w:t xml:space="preserve">Đến 120 triệu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Trên 10 đến 30 triệu</w:t>
            </w:r>
          </w:p>
        </w:tc>
        <w:tc>
          <w:tcPr/>
          <w:p>
            <w:pPr>
              <w:pStyle w:val="Compact"/>
            </w:pPr>
            <w:r>
              <w:t xml:space="preserve">Trên 120 đến 360 triệu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Trên 30 đến 60 triệu</w:t>
            </w:r>
          </w:p>
        </w:tc>
        <w:tc>
          <w:tcPr/>
          <w:p>
            <w:pPr>
              <w:pStyle w:val="Compact"/>
            </w:pPr>
            <w:r>
              <w:t xml:space="preserve">Trên 360 đến 720 triệu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Trên 60 đến 100 triệu</w:t>
            </w:r>
          </w:p>
        </w:tc>
        <w:tc>
          <w:tcPr/>
          <w:p>
            <w:pPr>
              <w:pStyle w:val="Compact"/>
            </w:pPr>
            <w:r>
              <w:t xml:space="preserve">Trên 720 triệu đến 1,2 tỷ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Trên 100 triệu</w:t>
            </w:r>
          </w:p>
        </w:tc>
        <w:tc>
          <w:tcPr/>
          <w:p>
            <w:pPr>
              <w:pStyle w:val="Compact"/>
            </w:pPr>
            <w:r>
              <w:t xml:space="preserve">Trên 1,2 tỷ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35%</w:t>
            </w:r>
          </w:p>
        </w:tc>
      </w:tr>
    </w:tbl>
    <w:p>
      <w:pPr>
        <w:pStyle w:val="BlockText"/>
      </w:pPr>
      <w:r>
        <w:rPr>
          <w:b/>
          <w:bCs/>
        </w:rPr>
        <w:t xml:space="preserve">Bản gốc có lỗi đánh số ở đây và đã được sửa</w:t>
      </w:r>
      <w:r>
        <w:t xml:space="preserve">: các bậc được đánh là 1, 2, 3, 4,</w:t>
      </w:r>
      <w:r>
        <w:t xml:space="preserve"> </w:t>
      </w:r>
      <w:r>
        <w:rPr>
          <w:b/>
          <w:bCs/>
        </w:rPr>
        <w:t xml:space="preserve">7</w:t>
      </w:r>
      <w:r>
        <w:t xml:space="preserve">,</w:t>
      </w:r>
      <w:r>
        <w:t xml:space="preserve"> </w:t>
      </w:r>
      <w:r>
        <w:t xml:space="preserve">đúng ra phải là 1 đến 5. Bản thân thuế suất và khoảng thu nhập thì chính xác.</w:t>
      </w:r>
    </w:p>
    <w:bookmarkEnd w:id="21"/>
    <w:bookmarkStart w:id="22" w:name="X61fc7a05b593c62c900cb5703f17c0be9ba22fe"/>
    <w:p>
      <w:pPr>
        <w:pStyle w:val="Heading3"/>
      </w:pPr>
      <w:r>
        <w:t xml:space="preserve">4. Cá nhân cư trú không có hợp đồng lao động hoặc hợp đồng dưới 03 tháng</w:t>
      </w:r>
    </w:p>
    <w:p>
      <w:pPr>
        <w:pStyle w:val="FirstParagraph"/>
      </w:pPr>
      <w:r>
        <w:t xml:space="preserve">Theo điểm i khoản 1 Điều 25 Thông tư</w:t>
      </w:r>
      <w:r>
        <w:t xml:space="preserve"> </w:t>
      </w:r>
      <w:r>
        <w:rPr>
          <w:b/>
          <w:bCs/>
        </w:rPr>
        <w:t xml:space="preserve">111/2013/TT-BTC</w:t>
      </w:r>
      <w:r>
        <w:t xml:space="preserve">:</w:t>
      </w:r>
    </w:p>
    <w:p>
      <w:pPr>
        <w:pStyle w:val="Compact"/>
        <w:numPr>
          <w:ilvl w:val="0"/>
          <w:numId w:val="1014"/>
        </w:numPr>
      </w:pPr>
      <w:r>
        <w:t xml:space="preserve">Mỗi lần chi trả</w:t>
      </w:r>
      <w:r>
        <w:t xml:space="preserve"> </w:t>
      </w:r>
      <w:r>
        <w:rPr>
          <w:b/>
          <w:bCs/>
        </w:rPr>
        <w:t xml:space="preserve">từ 2 triệu đồng trở lên</w:t>
      </w:r>
      <w:r>
        <w:t xml:space="preserve">: tổ chức chi trả khấu trừ</w:t>
      </w:r>
      <w:r>
        <w:t xml:space="preserve"> </w:t>
      </w:r>
      <w:r>
        <w:rPr>
          <w:b/>
          <w:bCs/>
        </w:rPr>
        <w:t xml:space="preserve">10% trên tổng thu nhập</w:t>
      </w:r>
      <w:r>
        <w:t xml:space="preserve"> </w:t>
      </w:r>
      <w:r>
        <w:t xml:space="preserve">trước khi trả.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Thuế TNCN phải nộp = Tổng thu nhập × 10%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Ngoại lệ</w:t>
      </w:r>
      <w:r>
        <w:t xml:space="preserve">: cá nhân chỉ có duy nhất một nguồn thu nhập thuộc diện khấu trừ theo tỷ lệ,</w:t>
      </w:r>
      <w:r>
        <w:t xml:space="preserve"> </w:t>
      </w:r>
      <w:r>
        <w:t xml:space="preserve">ước tính tổng thu nhập sau giảm trừ gia cảnh chưa đến mức phải nộp thuế,</w:t>
      </w:r>
      <w:r>
        <w:t xml:space="preserve"> </w:t>
      </w:r>
      <w:r>
        <w:t xml:space="preserve">có thể nộp</w:t>
      </w:r>
      <w:r>
        <w:t xml:space="preserve"> </w:t>
      </w:r>
      <w:r>
        <w:rPr>
          <w:b/>
          <w:bCs/>
        </w:rPr>
        <w:t xml:space="preserve">bản cam kết thu nhập</w:t>
      </w:r>
      <w:r>
        <w:t xml:space="preserve"> </w:t>
      </w:r>
      <w:r>
        <w:t xml:space="preserve">cho tổ chức chi trả để tạm thời không bị khấu trừ.</w:t>
      </w:r>
    </w:p>
    <w:p>
      <w:pPr>
        <w:pStyle w:val="Compact"/>
        <w:numPr>
          <w:ilvl w:val="1"/>
          <w:numId w:val="1015"/>
        </w:numPr>
      </w:pPr>
      <w:r>
        <w:t xml:space="preserve">Cá nhân làm cam kết</w:t>
      </w:r>
      <w:r>
        <w:t xml:space="preserve"> </w:t>
      </w:r>
      <w:r>
        <w:rPr>
          <w:b/>
          <w:bCs/>
        </w:rPr>
        <w:t xml:space="preserve">phải đã đăng ký thuế và có mã số thuế</w:t>
      </w:r>
      <w:r>
        <w:t xml:space="preserve">;</w:t>
      </w:r>
    </w:p>
    <w:p>
      <w:pPr>
        <w:pStyle w:val="Compact"/>
        <w:numPr>
          <w:ilvl w:val="1"/>
          <w:numId w:val="1015"/>
        </w:numPr>
      </w:pPr>
      <w:r>
        <w:t xml:space="preserve">Kết thúc năm tính thuế, tổ chức chi trả vẫn phải tổng hợp danh sách và thu nhập</w:t>
      </w:r>
      <w:r>
        <w:t xml:space="preserve"> </w:t>
      </w:r>
      <w:r>
        <w:t xml:space="preserve">của những cá nhân chưa đến mức khấu trừ để gửi cơ quan thuế;</w:t>
      </w:r>
    </w:p>
    <w:p>
      <w:pPr>
        <w:pStyle w:val="Compact"/>
        <w:numPr>
          <w:ilvl w:val="1"/>
          <w:numId w:val="1015"/>
        </w:numPr>
      </w:pPr>
      <w:r>
        <w:t xml:space="preserve">Cam kết không trung thực sẽ bị xử lý theo pháp luật quản lý thuế.</w:t>
      </w:r>
    </w:p>
    <w:bookmarkEnd w:id="22"/>
    <w:bookmarkStart w:id="23" w:name="cá-nhân-không-cư-trú"/>
    <w:p>
      <w:pPr>
        <w:pStyle w:val="Heading3"/>
      </w:pPr>
      <w:r>
        <w:t xml:space="preserve">5. Cá nhân không cư trú</w:t>
      </w:r>
    </w:p>
    <w:p>
      <w:pPr>
        <w:pStyle w:val="FirstParagraph"/>
      </w:pPr>
      <w:r>
        <w:t xml:space="preserve">Thu nhập từ tiền lương, tiền công tính theo thuế suất</w:t>
      </w:r>
      <w:r>
        <w:t xml:space="preserve"> </w:t>
      </w:r>
      <w:r>
        <w:rPr>
          <w:b/>
          <w:bCs/>
        </w:rPr>
        <w:t xml:space="preserve">20%</w:t>
      </w:r>
      <w:r>
        <w:t xml:space="preserve">,</w:t>
      </w:r>
      <w:r>
        <w:t xml:space="preserve"> </w:t>
      </w:r>
      <w:r>
        <w:rPr>
          <w:b/>
          <w:bCs/>
        </w:rPr>
        <w:t xml:space="preserve">không phân biệt nơi chi trả thu nhập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Thuế TNCN phải nộp = Thu nhập chịu thuế phát sinh tại Việt Nam × 20%</w:t>
      </w:r>
    </w:p>
    <w:bookmarkEnd w:id="23"/>
    <w:bookmarkStart w:id="24" w:name="một-số-lưu-ý-cho-doanh-nghiệp"/>
    <w:p>
      <w:pPr>
        <w:pStyle w:val="Heading3"/>
      </w:pPr>
      <w:r>
        <w:t xml:space="preserve">6. Một số lưu ý cho doanh nghiệp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Xác định chính xác</w:t>
      </w:r>
      <w:r>
        <w:t xml:space="preserve"> </w:t>
      </w:r>
      <w:r>
        <w:t xml:space="preserve">tư cách cư trú và loại hợp đồng lao động;</w:t>
      </w:r>
    </w:p>
    <w:p>
      <w:pPr>
        <w:pStyle w:val="Compact"/>
        <w:numPr>
          <w:ilvl w:val="0"/>
          <w:numId w:val="1016"/>
        </w:numPr>
      </w:pPr>
      <w:r>
        <w:t xml:space="preserve">Từ</w:t>
      </w:r>
      <w:r>
        <w:t xml:space="preserve"> </w:t>
      </w:r>
      <w:r>
        <w:rPr>
          <w:b/>
          <w:bCs/>
        </w:rPr>
        <w:t xml:space="preserve">năm 2026</w:t>
      </w:r>
      <w:r>
        <w:t xml:space="preserve">, cập nhật kịp thời</w:t>
      </w:r>
      <w:r>
        <w:t xml:space="preserve"> </w:t>
      </w:r>
      <w:r>
        <w:rPr>
          <w:b/>
          <w:bCs/>
        </w:rPr>
        <w:t xml:space="preserve">mức giảm trừ gia cảnh mới và biểu 5 bậc</w:t>
      </w:r>
      <w:r>
        <w:t xml:space="preserve"> </w:t>
      </w:r>
      <w:r>
        <w:t xml:space="preserve">khi tính lương và khấu trừ thuế;</w:t>
      </w:r>
    </w:p>
    <w:p>
      <w:pPr>
        <w:pStyle w:val="Compact"/>
        <w:numPr>
          <w:ilvl w:val="0"/>
          <w:numId w:val="1016"/>
        </w:numPr>
      </w:pPr>
      <w:r>
        <w:t xml:space="preserve">Hướng dẫn người lao động sớm hoàn tất</w:t>
      </w:r>
      <w:r>
        <w:t xml:space="preserve"> </w:t>
      </w:r>
      <w:r>
        <w:rPr>
          <w:b/>
          <w:bCs/>
        </w:rPr>
        <w:t xml:space="preserve">đăng ký mã số thuế cá nhân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Lưu giữ đầy đủ hồ sơ thuế phục vụ quyết toán và kiểm tra.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phần-iv-căn-cứ-pháp-lý-được-dẫn-chiếu"/>
    <w:p>
      <w:pPr>
        <w:pStyle w:val="Heading2"/>
      </w:pPr>
      <w:r>
        <w:t xml:space="preserve">PHẦN IV: CĂN CỨ PHÁP LÝ ĐƯỢC DẪN CHIẾU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Chủ đề</w:t>
            </w:r>
          </w:p>
        </w:tc>
        <w:tc>
          <w:tcPr/>
          <w:p>
            <w:pPr>
              <w:pStyle w:val="Compact"/>
            </w:pPr>
            <w:r>
              <w:t xml:space="preserve">Căn cứ</w:t>
            </w:r>
          </w:p>
        </w:tc>
        <w:tc>
          <w:tcPr/>
          <w:p>
            <w:pPr>
              <w:pStyle w:val="Compact"/>
            </w:pPr>
            <w:r>
              <w:t xml:space="preserve">Nội dung chính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Thời gian và lương thử việc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25, 26</w:t>
            </w:r>
            <w:r>
              <w:t xml:space="preserve"> </w:t>
            </w:r>
            <w:r>
              <w:t xml:space="preserve">Bộ luật Lao động số 45/2019/QH14</w:t>
            </w:r>
          </w:p>
        </w:tc>
        <w:tc>
          <w:tcPr/>
          <w:p>
            <w:pPr>
              <w:pStyle w:val="Compact"/>
            </w:pPr>
            <w:r>
              <w:t xml:space="preserve">180/60/30/6 ngày; chỉ thử việc một lần; lương ít nhất 85%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Thông báo kết quả thử việc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27</w:t>
            </w:r>
            <w:r>
              <w:t xml:space="preserve"> </w:t>
            </w:r>
            <w:r>
              <w:t xml:space="preserve">cùng Bộ luật</w:t>
            </w:r>
          </w:p>
        </w:tc>
        <w:tc>
          <w:tcPr/>
          <w:p>
            <w:pPr>
              <w:pStyle w:val="Compact"/>
            </w:pPr>
            <w:r>
              <w:t xml:space="preserve">Phải thông báo; đạt yêu cầu phải giao kết HĐLĐ; hủy bỏ trong thử việc không cần báo trước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Đối tượng tham gia BHXH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BHXH số 41/2024/QH15</w:t>
            </w:r>
          </w:p>
        </w:tc>
        <w:tc>
          <w:tcPr/>
          <w:p>
            <w:pPr>
              <w:pStyle w:val="Compact"/>
            </w:pPr>
            <w:r>
              <w:t xml:space="preserve">HĐLĐ từ 01 tháng trở lên phải tham gia; hợp đồng thử việc riêng không thuộc đối tượng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Tỷ lệ đóng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32, 33, 34</w:t>
            </w:r>
            <w:r>
              <w:t xml:space="preserve"> </w:t>
            </w:r>
            <w:r>
              <w:t xml:space="preserve">cùng Luật;</w:t>
            </w:r>
            <w:r>
              <w:t xml:space="preserve"> </w:t>
            </w:r>
            <w:r>
              <w:rPr>
                <w:b/>
                <w:bCs/>
              </w:rPr>
              <w:t xml:space="preserve">Điều 4 Nghị định 58/2020/NĐ-CP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Quyết định 595/QĐ-BHXH</w:t>
            </w:r>
          </w:p>
        </w:tc>
        <w:tc>
          <w:tcPr/>
          <w:p>
            <w:pPr>
              <w:pStyle w:val="Compact"/>
            </w:pPr>
            <w:r>
              <w:t xml:space="preserve">NSDLĐ 21,5%, NLĐ 10,5%, tổng 32%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Căn cứ đóng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Khoản 1 Điều 31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khoản 13 Điều 141</w:t>
            </w:r>
            <w:r>
              <w:t xml:space="preserve"> </w:t>
            </w:r>
            <w:r>
              <w:t xml:space="preserve">cùng Luật</w:t>
            </w:r>
          </w:p>
        </w:tc>
        <w:tc>
          <w:tcPr/>
          <w:p>
            <w:pPr>
              <w:pStyle w:val="Compact"/>
            </w:pPr>
            <w:r>
              <w:t xml:space="preserve">Cấu thành tiền lương đóng; sàn là mức tham chiếu, trần là 20 lần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Mức tham chiếu</w:t>
            </w:r>
          </w:p>
        </w:tc>
        <w:tc>
          <w:tcPr/>
          <w:p>
            <w:pPr>
              <w:pStyle w:val="Compact"/>
            </w:pPr>
            <w:r>
              <w:t xml:space="preserve">Cơ quan BHXH Việt Nam công bố</w:t>
            </w:r>
          </w:p>
        </w:tc>
        <w:tc>
          <w:tcPr/>
          <w:p>
            <w:pPr>
              <w:pStyle w:val="Compact"/>
            </w:pPr>
            <w:r>
              <w:t xml:space="preserve">Từ 01/7/2026 là</w:t>
            </w:r>
            <w:r>
              <w:t xml:space="preserve"> </w:t>
            </w:r>
            <w:r>
              <w:rPr>
                <w:b/>
                <w:bCs/>
              </w:rPr>
              <w:t xml:space="preserve">2.530.000</w:t>
            </w:r>
            <w:r>
              <w:t xml:space="preserve"> </w:t>
            </w:r>
            <w:r>
              <w:t xml:space="preserve">đồng/tháng; trần</w:t>
            </w:r>
            <w:r>
              <w:t xml:space="preserve"> </w:t>
            </w:r>
            <w:r>
              <w:rPr>
                <w:b/>
                <w:bCs/>
              </w:rPr>
              <w:t xml:space="preserve">50.600.000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Sàn theo lương tối thiểu vùng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Điểm 2.6 khoản 2 Điều 6</w:t>
            </w:r>
            <w:r>
              <w:t xml:space="preserve"> </w:t>
            </w:r>
            <w:r>
              <w:t xml:space="preserve">Quy trình kèm Quyết định 595/QĐ-BHXH</w:t>
            </w:r>
          </w:p>
        </w:tc>
        <w:tc>
          <w:tcPr/>
          <w:p>
            <w:pPr>
              <w:pStyle w:val="Compact"/>
            </w:pPr>
            <w:r>
              <w:t xml:space="preserve">Không thấp hơn lương tối thiểu vùng tại thời điểm đóng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Lương tối thiểu vùng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Nghị định 293/2025/NĐ-CP</w:t>
            </w:r>
          </w:p>
        </w:tc>
        <w:tc>
          <w:tcPr/>
          <w:p>
            <w:pPr>
              <w:pStyle w:val="Compact"/>
            </w:pPr>
            <w:r>
              <w:t xml:space="preserve">Từ 01/01/2026; Vùng I 5.310.000 đến Vùng IV 3.700.000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Luật thuế TNCN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số 109/2025/QH15</w:t>
            </w:r>
          </w:p>
        </w:tc>
        <w:tc>
          <w:tcPr/>
          <w:p>
            <w:pPr>
              <w:pStyle w:val="Compact"/>
            </w:pPr>
            <w:r>
              <w:t xml:space="preserve">Thông qua 10/12/2025; hiệu lực 01/7/2026; tiền lương áp dụng từ kỳ tính thuế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Giảm trừ và biểu thuế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9, 10</w:t>
            </w:r>
            <w:r>
              <w:t xml:space="preserve"> </w:t>
            </w:r>
            <w:r>
              <w:t xml:space="preserve">cùng Luật</w:t>
            </w:r>
          </w:p>
        </w:tc>
        <w:tc>
          <w:tcPr/>
          <w:p>
            <w:pPr>
              <w:pStyle w:val="Compact"/>
            </w:pPr>
            <w:r>
              <w:t xml:space="preserve">Biểu 5 bậc; 15,5 triệu / 6,2 triệu đồng/tháng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Khấu trừ 10%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Điểm i khoản 1 Điều 25 Thông tư 111/2013/TT-BTC</w:t>
            </w:r>
          </w:p>
        </w:tc>
        <w:tc>
          <w:tcPr/>
          <w:p>
            <w:pPr>
              <w:pStyle w:val="Compact"/>
            </w:pPr>
            <w:r>
              <w:t xml:space="preserve">Không HĐLĐ hoặc HĐLĐ dưới 03 tháng, chi trả từ 2 triệu trở lên khấu trừ 10%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6"/>
    <w:bookmarkStart w:id="27" w:name="phần-v-hướng-dẫn-sử-dụng-và-lưu-ý-rủi-ro"/>
    <w:p>
      <w:pPr>
        <w:pStyle w:val="Heading2"/>
      </w:pPr>
      <w:r>
        <w:t xml:space="preserve">PHẦN V: HƯỚNG DẪN SỬ DỤNG VÀ LƯU Ý RỦI RO</w:t>
      </w:r>
    </w:p>
    <w:p>
      <w:pPr>
        <w:numPr>
          <w:ilvl w:val="0"/>
          <w:numId w:val="1017"/>
        </w:numPr>
      </w:pPr>
      <w:r>
        <w:rPr>
          <w:b/>
          <w:bCs/>
        </w:rPr>
        <w:t xml:space="preserve">Đây là tài liệu tham khảo chung, không phải ý kiến pháp lý hay tư vấn thuế.</w:t>
      </w:r>
      <w:r>
        <w:t xml:space="preserve"> </w:t>
      </w:r>
      <w:r>
        <w:t xml:space="preserve">Ngành nghề, hình thức sử dụng lao động và cơ cấu lương khác nhau thì cách xử lý cũng khác;</w:t>
      </w:r>
      <w:r>
        <w:t xml:space="preserve"> </w:t>
      </w:r>
      <w:r>
        <w:t xml:space="preserve">vui lòng thực hiện theo ý kiến của luật sư hành nghề hoặc chuyên gia thuế tại Việt Nam.</w:t>
      </w:r>
    </w:p>
    <w:p>
      <w:pPr>
        <w:numPr>
          <w:ilvl w:val="0"/>
          <w:numId w:val="1017"/>
        </w:numPr>
      </w:pPr>
      <w:r>
        <w:rPr>
          <w:b/>
          <w:bCs/>
        </w:rPr>
        <w:t xml:space="preserve">Nội dung bản này ghi nhận có bảo lưu</w:t>
      </w:r>
      <w:r>
        <w:t xml:space="preserve">: tiêu chí đầy đủ xác định cá nhân cư trú /</w:t>
      </w:r>
      <w:r>
        <w:t xml:space="preserve"> </w:t>
      </w:r>
      <w:r>
        <w:t xml:space="preserve">không cư trú (Phần III mục 2). Tiêu chí này lấy từ tài liệu gốc, chưa rà soát độc lập</w:t>
      </w:r>
      <w:r>
        <w:t xml:space="preserve"> </w:t>
      </w:r>
      <w:r>
        <w:t xml:space="preserve">tới văn bản pháp luật; vì nó quyết định trực tiếp việc áp dụng biểu 5 bậc hay thuế suất 20%,</w:t>
      </w:r>
      <w:r>
        <w:t xml:space="preserve"> </w:t>
      </w:r>
      <w:r>
        <w:t xml:space="preserve">nên được ghi nhận kèm bảo lưu thay vì chép lại như một kết luận chắc chắn.</w:t>
      </w:r>
    </w:p>
    <w:p>
      <w:pPr>
        <w:numPr>
          <w:ilvl w:val="0"/>
          <w:numId w:val="1017"/>
        </w:numPr>
      </w:pPr>
      <w:r>
        <w:rPr>
          <w:b/>
          <w:bCs/>
        </w:rPr>
        <w:t xml:space="preserve">Chi phí các nền tảng tuyển dụng chỉ là khoảng tham khảo</w:t>
      </w:r>
      <w:r>
        <w:t xml:space="preserve">, thay đổi theo chính sách</w:t>
      </w:r>
      <w:r>
        <w:t xml:space="preserve"> </w:t>
      </w:r>
      <w:r>
        <w:t xml:space="preserve">và gói dịch vụ; vui lòng căn cứ báo giá hiện hành.</w:t>
      </w:r>
    </w:p>
    <w:p>
      <w:pPr>
        <w:numPr>
          <w:ilvl w:val="0"/>
          <w:numId w:val="1017"/>
        </w:numPr>
      </w:pPr>
      <w:r>
        <w:rPr>
          <w:b/>
          <w:bCs/>
        </w:rPr>
        <w:t xml:space="preserve">Quy định pháp luật có tính thời điểm mạnh.</w:t>
      </w:r>
      <w:r>
        <w:t xml:space="preserve"> </w:t>
      </w:r>
      <w:r>
        <w:t xml:space="preserve">Mức tham chiếu BHXH đã điều chỉnh</w:t>
      </w:r>
      <w:r>
        <w:t xml:space="preserve"> </w:t>
      </w:r>
      <w:r>
        <w:t xml:space="preserve">từ</w:t>
      </w:r>
      <w:r>
        <w:t xml:space="preserve"> </w:t>
      </w:r>
      <w:r>
        <w:rPr>
          <w:b/>
          <w:bCs/>
        </w:rPr>
        <w:t xml:space="preserve">01/7/2026</w:t>
      </w:r>
      <w:r>
        <w:t xml:space="preserve">, lương tối thiểu vùng từ</w:t>
      </w:r>
      <w:r>
        <w:t xml:space="preserve"> </w:t>
      </w:r>
      <w:r>
        <w:rPr>
          <w:b/>
          <w:bCs/>
        </w:rPr>
        <w:t xml:space="preserve">01/01/2026</w:t>
      </w:r>
      <w:r>
        <w:t xml:space="preserve">, và Luật Thuế TNCN mới</w:t>
      </w:r>
      <w:r>
        <w:t xml:space="preserve"> </w:t>
      </w:r>
      <w:r>
        <w:t xml:space="preserve">có hiệu lực từ</w:t>
      </w:r>
      <w:r>
        <w:t xml:space="preserve"> </w:t>
      </w:r>
      <w:r>
        <w:rPr>
          <w:b/>
          <w:bCs/>
        </w:rPr>
        <w:t xml:space="preserve">01/7/2026</w:t>
      </w:r>
      <w:r>
        <w:t xml:space="preserve">.</w:t>
      </w:r>
    </w:p>
    <w:p>
      <w:pPr>
        <w:numPr>
          <w:ilvl w:val="0"/>
          <w:numId w:val="1017"/>
        </w:numPr>
      </w:pPr>
      <w:r>
        <w:rPr>
          <w:b/>
          <w:bCs/>
        </w:rPr>
        <w:t xml:space="preserve">Tài liệu này không chứa thông tin của bất kỳ doanh nghiệp cụ thể nào.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vi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Quy trình tuyển dụng, BHXH và khấu trừ thuế TNCN tại Việt Nam (Bản 2026)</dc:title>
  <dc:creator/>
  <dc:language>vi</dc:language>
  <cp:keywords/>
  <dcterms:created xsi:type="dcterms:W3CDTF">2026-10-31T05:14:34Z</dcterms:created>
  <dcterms:modified xsi:type="dcterms:W3CDTF">2026-10-31T05:14:34Z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