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 House Lease Agreement Template (2026 Edition)</w:t>
      </w:r>
    </w:p>
    <w:bookmarkStart w:id="25" w:name="house-lease-agreement"/>
    <w:p>
      <w:pPr>
        <w:pStyle w:val="Heading1"/>
      </w:pPr>
      <w:r>
        <w:t xml:space="preserve">HOUSE LEASE AGREEMENT</w:t>
      </w:r>
    </w:p>
    <w:p>
      <w:pPr>
        <w:pStyle w:val="FirstParagraph"/>
      </w:pPr>
      <w:r>
        <w:rPr>
          <w:b/>
          <w:bCs/>
        </w:rPr>
        <w:t xml:space="preserve">HỢP ĐỒNG THUÊ NHÀ</w:t>
      </w:r>
    </w:p>
    <w:p>
      <w:pPr>
        <w:pStyle w:val="BodyText"/>
      </w:pPr>
      <w:r>
        <w:t xml:space="preserve">SOCIALIST REPUBLIC OF VIETNAM</w:t>
      </w:r>
    </w:p>
    <w:p>
      <w:pPr>
        <w:pStyle w:val="BodyText"/>
      </w:pPr>
      <w:r>
        <w:rPr>
          <w:b/>
          <w:bCs/>
        </w:rPr>
        <w:t xml:space="preserve">Independence – Freedom – Happiness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t xml:space="preserve">No.: </w:t>
      </w:r>
      <w:r>
        <w:rPr>
          <w:rFonts w:hint="eastAsia"/>
        </w:rPr>
        <w:t xml:space="preserve">＿＿＿＿/20＿＿/HĐTN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Civil Code No. 91/2015/QH13</w:t>
      </w:r>
      <w:r>
        <w:t xml:space="preserve"> </w:t>
      </w:r>
      <w:r>
        <w:t xml:space="preserve">dated 24 November 2015;</w:t>
      </w:r>
    </w:p>
    <w:p>
      <w:pPr>
        <w:pStyle w:val="BodyText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Housing Law No. 27/2023/QH15</w:t>
      </w:r>
      <w:r>
        <w:t xml:space="preserve">;</w:t>
      </w:r>
    </w:p>
    <w:p>
      <w:pPr>
        <w:pStyle w:val="BodyText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Commercial Law No. 36/2005/QH11</w:t>
      </w:r>
      <w:r>
        <w:t xml:space="preserve"> </w:t>
      </w:r>
      <w:r>
        <w:t xml:space="preserve">dated 14 June 2005</w:t>
      </w:r>
      <w:r>
        <w:t xml:space="preserve"> </w:t>
      </w:r>
      <w:r>
        <w:t xml:space="preserve">(applicable where both Parties are traders);</w:t>
      </w:r>
    </w:p>
    <w:p>
      <w:pPr>
        <w:pStyle w:val="BodyText"/>
      </w:pPr>
      <w:r>
        <w:t xml:space="preserve">Pursuant to the needs and mutual agreement of the Parties;</w:t>
      </w:r>
    </w:p>
    <w:p>
      <w:pPr>
        <w:pStyle w:val="BodyText"/>
      </w:pPr>
      <w:r>
        <w:t xml:space="preserve">Today,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＿＿＿＿,</w:t>
      </w:r>
      <w:r>
        <w:t xml:space="preserve"> the Parties are:</w:t>
      </w:r>
    </w:p>
    <w:bookmarkStart w:id="11" w:name="part-i-particulars-of-the-parties"/>
    <w:p>
      <w:pPr>
        <w:pStyle w:val="Heading2"/>
      </w:pPr>
      <w:r>
        <w:t xml:space="preserve">PART I: PARTICULARS OF THE PARTIES</w:t>
      </w:r>
    </w:p>
    <w:bookmarkStart w:id="9" w:name="party-a-the-lessor"/>
    <w:p>
      <w:pPr>
        <w:pStyle w:val="Heading3"/>
      </w:pPr>
      <w:r>
        <w:t xml:space="preserve">PARTY A – THE LESSOR</w:t>
      </w:r>
    </w:p>
    <w:p>
      <w:pPr>
        <w:pStyle w:val="FirstParagraph"/>
      </w:pPr>
      <w:r>
        <w:rPr>
          <w:b/>
          <w:bCs/>
        </w:rPr>
        <w:t xml:space="preserve">(Complete where Party A is an individual)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</w:t>
            </w:r>
          </w:p>
        </w:tc>
        <w:tc>
          <w:tcPr/>
          <w:p>
            <w:pPr>
              <w:pStyle w:val="Compact"/>
            </w:pPr>
            <w:r>
              <w:t xml:space="preserve">Mr./Ms. 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card / Citizen ID No.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Place / Date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Permanent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account (bank / number / holder)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b/>
          <w:bCs/>
        </w:rPr>
        <w:t xml:space="preserve">(Complete where Party A is an organisation)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of entity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code / Tax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representative / 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party-b-the-lessee"/>
    <w:p>
      <w:pPr>
        <w:pStyle w:val="Heading3"/>
      </w:pPr>
      <w:r>
        <w:t xml:space="preserve">PARTY B – THE LESSEE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 / Name of entity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card / Passport / Enterprise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Nationality (required for foreign individuals)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Visa / residence card number and validity (required for foreign individuals)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Place / Date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Permanent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Co-occupants (name / document number)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Party A and Party B are together referred to as the</w:t>
      </w:r>
      <w:r>
        <w:t xml:space="preserve"> </w:t>
      </w:r>
      <w:r>
        <w:t xml:space="preserve">“</w:t>
      </w:r>
      <w:r>
        <w:rPr>
          <w:b/>
          <w:bCs/>
        </w:rPr>
        <w:t xml:space="preserve">Parties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The Parties agree to enter into this house lease agreement (the</w:t>
      </w:r>
      <w:r>
        <w:t xml:space="preserve"> </w:t>
      </w:r>
      <w:r>
        <w:t xml:space="preserve">“</w:t>
      </w:r>
      <w:r>
        <w:rPr>
          <w:b/>
          <w:bCs/>
        </w:rPr>
        <w:t xml:space="preserve">Agreement</w:t>
      </w:r>
      <w:r>
        <w:t xml:space="preserve">”</w:t>
      </w:r>
      <w:r>
        <w:t xml:space="preserve">) on the</w:t>
      </w:r>
      <w:r>
        <w:t xml:space="preserve"> </w:t>
      </w:r>
      <w:r>
        <w:t xml:space="preserve">following terms: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art-ii-terms-and-conditions"/>
    <w:p>
      <w:pPr>
        <w:pStyle w:val="Heading2"/>
      </w:pPr>
      <w:r>
        <w:t xml:space="preserve">PART II: TERMS AND CONDITIONS</w:t>
      </w:r>
    </w:p>
    <w:bookmarkStart w:id="12" w:name="article-1.-leased-property"/>
    <w:p>
      <w:pPr>
        <w:pStyle w:val="Heading3"/>
      </w:pPr>
      <w:r>
        <w:t xml:space="preserve">Article 1. Leased Property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Party A agrees to lease, and Party B agrees to take on lease, the following</w:t>
      </w:r>
      <w:r>
        <w:t xml:space="preserve"> </w:t>
      </w:r>
      <w:r>
        <w:t xml:space="preserve">housing together with its appurtenances: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Floor area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</w:t>
            </w:r>
            <w:r>
              <w:t xml:space="preserve"> m²</w:t>
            </w:r>
          </w:p>
        </w:tc>
      </w:tr>
      <w:tr>
        <w:tc>
          <w:tcPr/>
          <w:p>
            <w:pPr>
              <w:pStyle w:val="Compact"/>
            </w:pPr>
            <w:r>
              <w:t xml:space="preserve">Floor / Unit number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Particulars of the residential land plot</w:t>
            </w:r>
            <w:r>
              <w:t xml:space="preserve"> </w:t>
            </w:r>
            <w:r>
              <w:t xml:space="preserve">(plot no. / map sheet no. / area / permitted use)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Structure and present condition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lockText"/>
      </w:pPr>
      <w:r>
        <w:t xml:space="preserve">The Housing Law requires a lease to state</w:t>
      </w:r>
      <w:r>
        <w:t xml:space="preserve"> </w:t>
      </w:r>
      <w:r>
        <w:rPr>
          <w:b/>
          <w:bCs/>
        </w:rPr>
        <w:t xml:space="preserve">a description of the housing transacted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the particulars of the residential land plot attached to it</w:t>
      </w:r>
      <w:r>
        <w:t xml:space="preserve">. The original template gave</w:t>
      </w:r>
      <w:r>
        <w:t xml:space="preserve"> </w:t>
      </w:r>
      <w:r>
        <w:t xml:space="preserve">only the floor area, with no land-plot particulars.</w:t>
      </w:r>
    </w:p>
    <w:p>
      <w:pPr>
        <w:pStyle w:val="FirstParagraph"/>
      </w:pPr>
      <w:r>
        <w:rPr>
          <w:b/>
          <w:bCs/>
        </w:rPr>
        <w:t xml:space="preserve">1.2. Permitted use</w:t>
      </w:r>
      <w:r>
        <w:t xml:space="preserve">: ☐ Residential　☐ Office　☐ Business</w:t>
      </w:r>
      <w:r>
        <w:t xml:space="preserve"> </w:t>
      </w:r>
      <w:r>
        <w:t xml:space="preserve">(must match the registered use of the property and local rules)　☐ Other: </w:t>
      </w:r>
      <w:r>
        <w:rPr>
          <w:rFonts w:hint="eastAsia"/>
        </w:rPr>
        <w:t xml:space="preserve">＿＿＿</w:t>
      </w:r>
    </w:p>
    <w:p>
      <w:pPr>
        <w:pStyle w:val="BlockText"/>
      </w:pPr>
      <w:r>
        <w:t xml:space="preserve">The original template said</w:t>
      </w:r>
      <w:r>
        <w:t xml:space="preserve"> </w:t>
      </w:r>
      <w:r>
        <w:t xml:space="preserve">“for residential use”</w:t>
      </w:r>
      <w:r>
        <w:t xml:space="preserve"> </w:t>
      </w:r>
      <w:r>
        <w:t xml:space="preserve">in Article 1 but</w:t>
      </w:r>
      <w:r>
        <w:t xml:space="preserve"> </w:t>
      </w:r>
      <w:r>
        <w:t xml:space="preserve">“for residence and other</w:t>
      </w:r>
      <w:r>
        <w:t xml:space="preserve"> </w:t>
      </w:r>
      <w:r>
        <w:t xml:space="preserve">lawful activities”</w:t>
      </w:r>
      <w:r>
        <w:t xml:space="preserve"> </w:t>
      </w:r>
      <w:r>
        <w:t xml:space="preserve">in Article 8 —</w:t>
      </w:r>
      <w:r>
        <w:t xml:space="preserve"> </w:t>
      </w:r>
      <w:r>
        <w:rPr>
          <w:b/>
          <w:bCs/>
        </w:rPr>
        <w:t xml:space="preserve">internally inconsistent</w:t>
      </w:r>
      <w:r>
        <w:t xml:space="preserve">. The permitted use must be</w:t>
      </w:r>
      <w:r>
        <w:t xml:space="preserve"> </w:t>
      </w:r>
      <w:r>
        <w:t xml:space="preserve">single and explicit: it determines whether a business registration can be made at the</w:t>
      </w:r>
      <w:r>
        <w:t xml:space="preserve"> </w:t>
      </w:r>
      <w:r>
        <w:t xml:space="preserve">address, whether the premises can serve as a company address, and how utilities are priced.</w:t>
      </w:r>
    </w:p>
    <w:p>
      <w:pPr>
        <w:pStyle w:val="FirstParagraph"/>
      </w:pPr>
      <w:r>
        <w:rPr>
          <w:b/>
          <w:bCs/>
        </w:rPr>
        <w:t xml:space="preserve">1.3. Schedule of appurtenances</w:t>
      </w:r>
      <w:r>
        <w:t xml:space="preserve">: see the</w:t>
      </w:r>
      <w:r>
        <w:t xml:space="preserve"> </w:t>
      </w:r>
      <w:r>
        <w:rPr>
          <w:i/>
          <w:iCs/>
        </w:rPr>
        <w:t xml:space="preserve">Handover Record</w:t>
      </w:r>
      <w:r>
        <w:t xml:space="preserve"> </w:t>
      </w:r>
      <w:r>
        <w:t xml:space="preserve">appended to this Agreement.</w:t>
      </w:r>
    </w:p>
    <w:p>
      <w:pPr>
        <w:pStyle w:val="BodyText"/>
      </w:pPr>
      <w:r>
        <w:rPr>
          <w:b/>
          <w:bCs/>
        </w:rPr>
        <w:t xml:space="preserve">1.4. Title warranty</w:t>
      </w:r>
      <w:r>
        <w:t xml:space="preserve">: Party A warrants that it holds lawful rights to the housing and</w:t>
      </w:r>
      <w:r>
        <w:t xml:space="preserve"> </w:t>
      </w:r>
      <w:r>
        <w:t xml:space="preserve">land use rights described, is entitled to lease them, and that the property is not under</w:t>
      </w:r>
      <w:r>
        <w:t xml:space="preserve"> </w:t>
      </w:r>
      <w:r>
        <w:t xml:space="preserve">attachment or in dispute. Party A bears full legal responsibility for any dispute arising as</w:t>
      </w:r>
      <w:r>
        <w:t xml:space="preserve"> </w:t>
      </w:r>
      <w:r>
        <w:t xml:space="preserve">to title to the leased property.</w:t>
      </w:r>
    </w:p>
    <w:p>
      <w:pPr>
        <w:pStyle w:val="BodyText"/>
      </w:pPr>
      <w:r>
        <w:rPr>
          <w:b/>
          <w:bCs/>
        </w:rPr>
        <w:t xml:space="preserve">1.5. Inspection of title documents</w:t>
      </w:r>
      <w:r>
        <w:t xml:space="preserve">: before signing, Party A shall produce the original</w:t>
      </w:r>
      <w:r>
        <w:t xml:space="preserve"> </w:t>
      </w:r>
      <w:r>
        <w:t xml:space="preserve">certificate of house ownership / land use rights (commonly the</w:t>
      </w:r>
      <w:r>
        <w:t xml:space="preserve"> </w:t>
      </w:r>
      <w:r>
        <w:t xml:space="preserve">“red book / pink book”</w:t>
      </w:r>
      <w:r>
        <w:t xml:space="preserve">) or</w:t>
      </w:r>
      <w:r>
        <w:t xml:space="preserve"> </w:t>
      </w:r>
      <w:r>
        <w:t xml:space="preserve">other lawful title document for Party B’s inspection, and provide one copy as an appendix.</w:t>
      </w:r>
      <w:r>
        <w:t xml:space="preserve"> </w:t>
      </w:r>
      <w:r>
        <w:t xml:space="preserve">Where Party A is not the owner but sublets, Party A shall produce the owner’s written</w:t>
      </w:r>
      <w:r>
        <w:t xml:space="preserve"> </w:t>
      </w:r>
      <w:r>
        <w:t xml:space="preserve">consent to sublet.</w:t>
      </w:r>
    </w:p>
    <w:p>
      <w:pPr>
        <w:pStyle w:val="BlockText"/>
      </w:pPr>
      <w:r>
        <w:t xml:space="preserve">The original template relied on Party A’s bare warranty with</w:t>
      </w:r>
      <w:r>
        <w:t xml:space="preserve"> </w:t>
      </w:r>
      <w:r>
        <w:rPr>
          <w:b/>
          <w:bCs/>
        </w:rPr>
        <w:t xml:space="preserve">no requirement to inspect</w:t>
      </w:r>
      <w:r>
        <w:rPr>
          <w:b/>
          <w:bCs/>
        </w:rPr>
        <w:t xml:space="preserve"> </w:t>
      </w:r>
      <w:r>
        <w:rPr>
          <w:b/>
          <w:bCs/>
        </w:rPr>
        <w:t xml:space="preserve">title documents</w:t>
      </w:r>
      <w:r>
        <w:t xml:space="preserve">. This is the single most common risk in lease disputes: a sub-lessor</w:t>
      </w:r>
      <w:r>
        <w:t xml:space="preserve"> </w:t>
      </w:r>
      <w:r>
        <w:t xml:space="preserve">without authority, or a property already mortgaged or under attachment.</w:t>
      </w:r>
    </w:p>
    <w:bookmarkEnd w:id="12"/>
    <w:bookmarkStart w:id="13" w:name="article-2.-handover"/>
    <w:p>
      <w:pPr>
        <w:pStyle w:val="Heading3"/>
      </w:pPr>
      <w:r>
        <w:t xml:space="preserve">Article 2. Handover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Party A shall hand over the property to Party B on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At handover the Parties shall jointly sign a</w:t>
      </w:r>
      <w:r>
        <w:t xml:space="preserve"> </w:t>
      </w:r>
      <w:r>
        <w:rPr>
          <w:i/>
          <w:iCs/>
        </w:rPr>
        <w:t xml:space="preserve">Handover Record</w:t>
      </w:r>
      <w:r>
        <w:t xml:space="preserve"> </w:t>
      </w:r>
      <w:r>
        <w:t xml:space="preserve">stating: the</w:t>
      </w:r>
      <w:r>
        <w:t xml:space="preserve"> </w:t>
      </w:r>
      <w:r>
        <w:t xml:space="preserve">schedule of furniture and equipment and their condition;</w:t>
      </w:r>
      <w:r>
        <w:t xml:space="preserve"> </w:t>
      </w:r>
      <w:r>
        <w:rPr>
          <w:b/>
          <w:bCs/>
        </w:rPr>
        <w:t xml:space="preserve">the water, electricity and gas</w:t>
      </w:r>
      <w:r>
        <w:rPr>
          <w:b/>
          <w:bCs/>
        </w:rPr>
        <w:t xml:space="preserve"> </w:t>
      </w:r>
      <w:r>
        <w:rPr>
          <w:b/>
          <w:bCs/>
        </w:rPr>
        <w:t xml:space="preserve">meter readings</w:t>
      </w:r>
      <w:r>
        <w:t xml:space="preserve">; the number of keys and access cards; and photographs of existing defects.</w:t>
      </w:r>
      <w:r>
        <w:t xml:space="preserve"> </w:t>
      </w:r>
      <w:r>
        <w:t xml:space="preserve">That record forms an integral part of this Agreement.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From the handover date Party B has full rights of use within the agreed permitted use.</w:t>
      </w:r>
    </w:p>
    <w:p>
      <w:pPr>
        <w:pStyle w:val="BlockText"/>
      </w:pPr>
      <w:r>
        <w:t xml:space="preserve">The original template had no handover record and no meter readings.</w:t>
      </w:r>
      <w:r>
        <w:t xml:space="preserve"> </w:t>
      </w:r>
      <w:r>
        <w:rPr>
          <w:b/>
          <w:bCs/>
        </w:rPr>
        <w:t xml:space="preserve">Almost every dispute</w:t>
      </w:r>
      <w:r>
        <w:rPr>
          <w:b/>
          <w:bCs/>
        </w:rPr>
        <w:t xml:space="preserve"> </w:t>
      </w:r>
      <w:r>
        <w:rPr>
          <w:b/>
          <w:bCs/>
        </w:rPr>
        <w:t xml:space="preserve">at the end of a tenancy over</w:t>
      </w:r>
      <w:r>
        <w:rPr>
          <w:b/>
          <w:bCs/>
        </w:rPr>
        <w:t xml:space="preserve"> </w:t>
      </w:r>
      <w:r>
        <w:rPr>
          <w:b/>
          <w:bCs/>
        </w:rPr>
        <w:t xml:space="preserve">“pre-existing damage”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</w:rPr>
        <w:t xml:space="preserve">“apportionment of utilities”</w:t>
      </w:r>
      <w:r>
        <w:rPr>
          <w:b/>
          <w:bCs/>
        </w:rPr>
        <w:t xml:space="preserve"> </w:t>
      </w:r>
      <w:r>
        <w:rPr>
          <w:b/>
          <w:bCs/>
        </w:rPr>
        <w:t xml:space="preserve">stems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absence of a record made at handover.</w:t>
      </w:r>
    </w:p>
    <w:bookmarkEnd w:id="13"/>
    <w:bookmarkStart w:id="14" w:name="article-3.-term-and-renewal"/>
    <w:p>
      <w:pPr>
        <w:pStyle w:val="Heading3"/>
      </w:pPr>
      <w:r>
        <w:t xml:space="preserve">Article 3. Term and Renewal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The term is </w:t>
      </w:r>
      <w:r>
        <w:rPr>
          <w:rFonts w:hint="eastAsia"/>
        </w:rPr>
        <w:t xml:space="preserve">＿＿＿</w:t>
      </w:r>
      <w:r>
        <w:t xml:space="preserve"> years (or </w:t>
      </w:r>
      <w:r>
        <w:rPr>
          <w:rFonts w:hint="eastAsia"/>
        </w:rPr>
        <w:t xml:space="preserve">＿＿＿</w:t>
      </w:r>
      <w:r>
        <w:t xml:space="preserve"> months) from the handover date,</w:t>
      </w:r>
      <w:r>
        <w:t xml:space="preserve"> </w:t>
      </w:r>
      <w:r>
        <w:t xml:space="preserve">that is from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  <w:r>
        <w:t xml:space="preserve"> to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＿＿＿＿.</w:t>
      </w:r>
    </w:p>
    <w:p>
      <w:pPr>
        <w:pStyle w:val="BodyText"/>
      </w:pPr>
      <w:r>
        <w:rPr>
          <w:b/>
          <w:bCs/>
        </w:rPr>
        <w:t xml:space="preserve">3.2. Priority to renew</w:t>
      </w:r>
      <w:r>
        <w:t xml:space="preserve">: not later than </w:t>
      </w:r>
      <w:r>
        <w:rPr>
          <w:rFonts w:hint="eastAsia"/>
        </w:rPr>
        <w:t xml:space="preserve">＿＿＿</w:t>
      </w:r>
      <w:r>
        <w:t xml:space="preserve"> days before expiry, Party B may request</w:t>
      </w:r>
      <w:r>
        <w:t xml:space="preserve"> </w:t>
      </w:r>
      <w:r>
        <w:t xml:space="preserve">renewal in writing. On equivalent terms Party A shall give Party B priority to renew; if</w:t>
      </w:r>
      <w:r>
        <w:t xml:space="preserve"> </w:t>
      </w:r>
      <w:r>
        <w:t xml:space="preserve">Party A does not agree, it shall reply in writing within </w:t>
      </w:r>
      <w:r>
        <w:rPr>
          <w:rFonts w:hint="eastAsia"/>
        </w:rPr>
        <w:t xml:space="preserve">＿＿＿</w:t>
      </w:r>
      <w:r>
        <w:t xml:space="preserve"> days of the request.</w:t>
      </w:r>
      <w:r>
        <w:t xml:space="preserve"> </w:t>
      </w:r>
      <w:r>
        <w:t xml:space="preserve">Renewal terms shall be agreed separately in writing.</w:t>
      </w:r>
    </w:p>
    <w:p>
      <w:pPr>
        <w:pStyle w:val="BlockText"/>
      </w:pPr>
      <w:r>
        <w:t xml:space="preserve">The original template said Party A</w:t>
      </w:r>
      <w:r>
        <w:t xml:space="preserve"> </w:t>
      </w:r>
      <w:r>
        <w:t xml:space="preserve">“should give priority to renewal”</w:t>
      </w:r>
      <w:r>
        <w:t xml:space="preserve"> </w:t>
      </w:r>
      <w:r>
        <w:t xml:space="preserve">but</w:t>
      </w:r>
      <w:r>
        <w:t xml:space="preserve"> </w:t>
      </w:r>
      <w:r>
        <w:rPr>
          <w:b/>
          <w:bCs/>
        </w:rPr>
        <w:t xml:space="preserve">set neither a</w:t>
      </w:r>
      <w:r>
        <w:rPr>
          <w:b/>
          <w:bCs/>
        </w:rPr>
        <w:t xml:space="preserve"> </w:t>
      </w:r>
      <w:r>
        <w:rPr>
          <w:b/>
          <w:bCs/>
        </w:rPr>
        <w:t xml:space="preserve">window for exercising the right nor a deadline for replying — unenforceable in practice</w:t>
      </w:r>
      <w:r>
        <w:t xml:space="preserve">.</w:t>
      </w:r>
    </w:p>
    <w:bookmarkEnd w:id="14"/>
    <w:bookmarkStart w:id="15" w:name="article-4.-rent-and-other-charges"/>
    <w:p>
      <w:pPr>
        <w:pStyle w:val="Heading3"/>
      </w:pPr>
      <w:r>
        <w:t xml:space="preserve">Article 4. Rent and Other Charges</w:t>
      </w:r>
    </w:p>
    <w:p>
      <w:pPr>
        <w:pStyle w:val="FirstParagraph"/>
      </w:pPr>
      <w:r>
        <w:rPr>
          <w:b/>
          <w:bCs/>
        </w:rPr>
        <w:t xml:space="preserve">4.1. Rent</w:t>
      </w:r>
      <w:r>
        <w:t xml:space="preserve">: VND </w:t>
      </w:r>
      <w:r>
        <w:rPr>
          <w:rFonts w:hint="eastAsia"/>
        </w:rPr>
        <w:t xml:space="preserve">＿＿＿＿＿＿</w:t>
      </w:r>
      <w:r>
        <w:t xml:space="preserve"> per month (in words: </w:t>
      </w:r>
      <w:r>
        <w:rPr>
          <w:rFonts w:hint="eastAsia"/>
        </w:rPr>
        <w:t xml:space="preserve">＿＿＿＿＿＿＿＿).</w:t>
      </w:r>
    </w:p>
    <w:p>
      <w:pPr>
        <w:pStyle w:val="BodyText"/>
      </w:pPr>
      <w:r>
        <w:rPr>
          <w:b/>
          <w:bCs/>
        </w:rPr>
        <w:t xml:space="preserve">4.2. Whether rent is tax-inclusive</w:t>
      </w:r>
      <w:r>
        <w:t xml:space="preserve">: ☐ Inclusive　☐ Exclusive. See Article 6 for tax.</w:t>
      </w:r>
    </w:p>
    <w:p>
      <w:pPr>
        <w:pStyle w:val="BodyText"/>
      </w:pPr>
      <w:r>
        <w:rPr>
          <w:b/>
          <w:bCs/>
        </w:rPr>
        <w:t xml:space="preserve">4.3. Payment cycle and method</w:t>
      </w:r>
      <w:r>
        <w:t xml:space="preserve">: payable every </w:t>
      </w:r>
      <w:r>
        <w:rPr>
          <w:rFonts w:hint="eastAsia"/>
        </w:rPr>
        <w:t xml:space="preserve">＿＿＿</w:t>
      </w:r>
      <w:r>
        <w:t xml:space="preserve"> month(s), by the </w:t>
      </w:r>
      <w:r>
        <w:rPr>
          <w:rFonts w:hint="eastAsia"/>
        </w:rPr>
        <w:t xml:space="preserve">＿＿＿</w:t>
      </w:r>
      <w:r>
        <w:t xml:space="preserve"> day of the</w:t>
      </w:r>
      <w:r>
        <w:t xml:space="preserve"> </w:t>
      </w:r>
      <w:r>
        <w:t xml:space="preserve">first month of each period; method: ☐ Cash　☐ Bank transfer. Rent is denominated and paid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Vietnamese dong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4.4. Rent adjustment</w:t>
      </w:r>
      <w:r>
        <w:t xml:space="preserve">: the rent is fixed for the term; adjustment on renewal shall be</w:t>
      </w:r>
      <w:r>
        <w:t xml:space="preserve"> </w:t>
      </w:r>
      <w:r>
        <w:t xml:space="preserve">agreed in writing, and unilateral adjustment is of no effect.</w:t>
      </w:r>
    </w:p>
    <w:p>
      <w:pPr>
        <w:pStyle w:val="BodyText"/>
      </w:pPr>
      <w:r>
        <w:rPr>
          <w:b/>
          <w:bCs/>
        </w:rPr>
        <w:t xml:space="preserve">4.5. Other charges</w:t>
      </w:r>
      <w:r>
        <w:t xml:space="preserve">: electricity, water, internet, cleaning and management fees are borne</w:t>
      </w:r>
      <w:r>
        <w:t xml:space="preserve"> </w:t>
      </w:r>
      <w:r>
        <w:t xml:space="preserve">by ☐ Party B　☐ Party A, settled against the supplier’s actual invoices at State-regulated</w:t>
      </w:r>
      <w:r>
        <w:t xml:space="preserve"> </w:t>
      </w:r>
      <w:r>
        <w:t xml:space="preserve">unit prices. Where borne by Party B, Party B shall pay the relevant suppliers directly or</w:t>
      </w:r>
      <w:r>
        <w:t xml:space="preserve"> </w:t>
      </w:r>
      <w:r>
        <w:t xml:space="preserve">through Party A and retain the receipts.</w:t>
      </w:r>
    </w:p>
    <w:bookmarkEnd w:id="15"/>
    <w:bookmarkStart w:id="16" w:name="article-5.-security-deposit"/>
    <w:p>
      <w:pPr>
        <w:pStyle w:val="Heading3"/>
      </w:pPr>
      <w:r>
        <w:t xml:space="preserve">Article 5. Security Deposit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Within </w:t>
      </w:r>
      <w:r>
        <w:rPr>
          <w:rFonts w:hint="eastAsia"/>
        </w:rPr>
        <w:t xml:space="preserve">＿＿＿</w:t>
      </w:r>
      <w:r>
        <w:t xml:space="preserve"> days of signing, Party B shall pay Party A a deposit of</w:t>
      </w:r>
      <w:r>
        <w:t xml:space="preserve"> </w:t>
      </w:r>
      <w:r>
        <w:t xml:space="preserve">VND </w:t>
      </w:r>
      <w:r>
        <w:rPr>
          <w:rFonts w:hint="eastAsia"/>
        </w:rPr>
        <w:t xml:space="preserve">＿＿＿＿＿＿</w:t>
      </w:r>
      <w:r>
        <w:t xml:space="preserve"> (in words: </w:t>
      </w:r>
      <w:r>
        <w:rPr>
          <w:rFonts w:hint="eastAsia"/>
        </w:rPr>
        <w:t xml:space="preserve">＿＿＿＿＿＿＿＿),</w:t>
      </w:r>
      <w:r>
        <w:t xml:space="preserve"> equal to </w:t>
      </w:r>
      <w:r>
        <w:rPr>
          <w:rFonts w:hint="eastAsia"/>
        </w:rPr>
        <w:t xml:space="preserve">＿＿＿</w:t>
      </w:r>
      <w:r>
        <w:t xml:space="preserve"> months’ rent, as security</w:t>
      </w:r>
      <w:r>
        <w:t xml:space="preserve"> </w:t>
      </w:r>
      <w:r>
        <w:t xml:space="preserve">for performance.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The deposit</w:t>
      </w:r>
      <w:r>
        <w:t xml:space="preserve"> </w:t>
      </w:r>
      <w:r>
        <w:rPr>
          <w:b/>
          <w:bCs/>
        </w:rPr>
        <w:t xml:space="preserve">may not be set off against rent</w:t>
      </w:r>
      <w:r>
        <w:t xml:space="preserve">. Where Party B’s breach causes loss</w:t>
      </w:r>
      <w:r>
        <w:t xml:space="preserve"> </w:t>
      </w:r>
      <w:r>
        <w:t xml:space="preserve">to Party A, Party A may deduct the corresponding amount; the amount deducted shall be</w:t>
      </w:r>
      <w:r>
        <w:t xml:space="preserve"> </w:t>
      </w:r>
      <w:r>
        <w:t xml:space="preserve">confirmed by both Parties in writing and Party A shall produce evidence of the loss.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Within </w:t>
      </w:r>
      <w:r>
        <w:rPr>
          <w:rFonts w:hint="eastAsia"/>
        </w:rPr>
        <w:t xml:space="preserve">＿＿＿</w:t>
      </w:r>
      <w:r>
        <w:t xml:space="preserve"> days of expiry or termination, Party A shall refund the balance of the</w:t>
      </w:r>
      <w:r>
        <w:t xml:space="preserve"> </w:t>
      </w:r>
      <w:r>
        <w:t xml:space="preserve">deposit after deducting sums due and confirmed compensation, together with a statement of account.</w:t>
      </w:r>
    </w:p>
    <w:p>
      <w:pPr>
        <w:pStyle w:val="BodyText"/>
      </w:pPr>
      <w:r>
        <w:rPr>
          <w:b/>
          <w:bCs/>
        </w:rPr>
        <w:t xml:space="preserve">5.4. Consequences of unilateral termination without the agreed notice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If Party B terminates without the notice required by Article 9, Party A may retain the deposit;</w:t>
      </w:r>
    </w:p>
    <w:p>
      <w:pPr>
        <w:pStyle w:val="Compact"/>
        <w:numPr>
          <w:ilvl w:val="0"/>
          <w:numId w:val="1001"/>
        </w:numPr>
      </w:pPr>
      <w:r>
        <w:t xml:space="preserve">If Party A terminates without the notice required by Article 9, Party A shall refund the</w:t>
      </w:r>
      <w:r>
        <w:t xml:space="preserve"> </w:t>
      </w:r>
      <w:r>
        <w:t xml:space="preserve">deposit and pay a further sum equal to the deposit.</w:t>
      </w:r>
    </w:p>
    <w:p>
      <w:pPr>
        <w:pStyle w:val="BlockText"/>
      </w:pPr>
      <w:r>
        <w:t xml:space="preserve">In the original template, Clause 4.2 and the 30-day notice obligation in Article 9 were not</w:t>
      </w:r>
      <w:r>
        <w:t xml:space="preserve"> </w:t>
      </w:r>
      <w:r>
        <w:t xml:space="preserve">linked, inviting the reading that two parallel regimes applied. This clause refers expressly</w:t>
      </w:r>
      <w:r>
        <w:t xml:space="preserve"> </w:t>
      </w:r>
      <w:r>
        <w:t xml:space="preserve">to Article 9, making</w:t>
      </w:r>
      <w:r>
        <w:t xml:space="preserve"> </w:t>
      </w:r>
      <w:r>
        <w:t xml:space="preserve">“notice given or not”</w:t>
      </w:r>
      <w:r>
        <w:t xml:space="preserve"> </w:t>
      </w:r>
      <w:r>
        <w:t xml:space="preserve">the single test.</w:t>
      </w:r>
    </w:p>
    <w:bookmarkEnd w:id="16"/>
    <w:bookmarkStart w:id="17" w:name="article-6.-taxes"/>
    <w:p>
      <w:pPr>
        <w:pStyle w:val="Heading3"/>
      </w:pPr>
      <w:r>
        <w:t xml:space="preserve">Article 6. Taxes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Taxes arising from the lease are borne by the person liable under applicable</w:t>
      </w:r>
      <w:r>
        <w:t xml:space="preserve"> </w:t>
      </w:r>
      <w:r>
        <w:t xml:space="preserve">Vietnamese tax law; where the Parties agree otherwise, state it here: </w:t>
      </w:r>
      <w:r>
        <w:rPr>
          <w:rFonts w:hint="eastAsia"/>
        </w:rPr>
        <w:t xml:space="preserve">＿＿＿＿＿＿＿＿.</w:t>
      </w:r>
    </w:p>
    <w:p>
      <w:pPr>
        <w:pStyle w:val="BodyText"/>
      </w:pPr>
      <w:r>
        <w:rPr>
          <w:b/>
          <w:bCs/>
        </w:rPr>
        <w:t xml:space="preserve">6.2.</w:t>
      </w:r>
      <w:r>
        <w:t xml:space="preserve"> </w:t>
      </w:r>
      <w:r>
        <w:t xml:space="preserve">Where Party A is an individual, the tax obligations on rental income are borne and</w:t>
      </w:r>
      <w:r>
        <w:t xml:space="preserve"> </w:t>
      </w:r>
      <w:r>
        <w:t xml:space="preserve">declared by Party A.</w:t>
      </w:r>
    </w:p>
    <w:p>
      <w:pPr>
        <w:pStyle w:val="BlockText"/>
      </w:pPr>
      <w:r>
        <w:rPr>
          <w:b/>
          <w:bCs/>
        </w:rPr>
        <w:t xml:space="preserve">Important 2026 change</w:t>
      </w:r>
      <w:r>
        <w:t xml:space="preserve">: from</w:t>
      </w:r>
      <w:r>
        <w:t xml:space="preserve"> </w:t>
      </w:r>
      <w:r>
        <w:rPr>
          <w:b/>
          <w:bCs/>
        </w:rPr>
        <w:t xml:space="preserve">01 January 2026</w:t>
      </w:r>
      <w:r>
        <w:t xml:space="preserve"> </w:t>
      </w:r>
      <w:r>
        <w:t xml:space="preserve">the annual revenue threshold for</w:t>
      </w:r>
      <w:r>
        <w:t xml:space="preserve"> </w:t>
      </w:r>
      <w:r>
        <w:t xml:space="preserve">business households and individual traders was</w:t>
      </w:r>
      <w:r>
        <w:t xml:space="preserve"> </w:t>
      </w:r>
      <w:r>
        <w:rPr>
          <w:b/>
          <w:bCs/>
        </w:rPr>
        <w:t xml:space="preserve">raised from VND 100 million to</w:t>
      </w:r>
      <w:r>
        <w:rPr>
          <w:b/>
          <w:bCs/>
        </w:rPr>
        <w:t xml:space="preserve"> </w:t>
      </w:r>
      <w:r>
        <w:rPr>
          <w:b/>
          <w:bCs/>
        </w:rPr>
        <w:t xml:space="preserve">VND 500 million</w:t>
      </w:r>
      <w:r>
        <w:t xml:space="preserve">; at or below that threshold, both</w:t>
      </w:r>
      <w:r>
        <w:t xml:space="preserve"> </w:t>
      </w:r>
      <w:r>
        <w:rPr>
          <w:b/>
          <w:bCs/>
        </w:rPr>
        <w:t xml:space="preserve">VAT and personal income tax are</w:t>
      </w:r>
      <w:r>
        <w:rPr>
          <w:b/>
          <w:bCs/>
        </w:rPr>
        <w:t xml:space="preserve"> </w:t>
      </w:r>
      <w:r>
        <w:rPr>
          <w:b/>
          <w:bCs/>
        </w:rPr>
        <w:t xml:space="preserve">exempt</w:t>
      </w:r>
      <w:r>
        <w:t xml:space="preserve">. At the same time the</w:t>
      </w:r>
      <w:r>
        <w:t xml:space="preserve"> </w:t>
      </w:r>
      <w:r>
        <w:rPr>
          <w:b/>
          <w:bCs/>
        </w:rPr>
        <w:t xml:space="preserve">presumptive (khoán) method was abolished in favour of</w:t>
      </w:r>
      <w:r>
        <w:rPr>
          <w:b/>
          <w:bCs/>
        </w:rPr>
        <w:t xml:space="preserve"> </w:t>
      </w:r>
      <w:r>
        <w:rPr>
          <w:b/>
          <w:bCs/>
        </w:rPr>
        <w:t xml:space="preserve">self-declaration</w:t>
      </w:r>
      <w:r>
        <w:t xml:space="preserve">. The basis is the amended Law on Personal Income Tax.</w:t>
      </w:r>
    </w:p>
    <w:p>
      <w:pPr>
        <w:pStyle w:val="BlockText"/>
      </w:pPr>
      <w:r>
        <w:rPr>
          <w:b/>
          <w:bCs/>
        </w:rPr>
        <w:t xml:space="preserve">Exemption is not exemption from filing</w:t>
      </w:r>
      <w:r>
        <w:t xml:space="preserve"> </w:t>
      </w:r>
      <w:r>
        <w:t xml:space="preserve">— declarations must still be made fully,</w:t>
      </w:r>
      <w:r>
        <w:t xml:space="preserve"> </w:t>
      </w:r>
      <w:r>
        <w:t xml:space="preserve">truthfully and on time below the threshold.</w:t>
      </w:r>
    </w:p>
    <w:p>
      <w:pPr>
        <w:pStyle w:val="BlockText"/>
      </w:pPr>
      <w:r>
        <w:t xml:space="preserve">For the rates applicable to property leasing above the threshold, rely on the current</w:t>
      </w:r>
      <w:r>
        <w:t xml:space="preserve"> </w:t>
      </w:r>
      <w:r>
        <w:t xml:space="preserve">legal texts or a tax adviser; this template states no rates.</w:t>
      </w:r>
    </w:p>
    <w:p>
      <w:pPr>
        <w:pStyle w:val="FirstParagraph"/>
      </w:pPr>
      <w:r>
        <w:rPr>
          <w:b/>
          <w:bCs/>
        </w:rPr>
        <w:t xml:space="preserve">6.3. Invoices</w:t>
      </w:r>
      <w:r>
        <w:t xml:space="preserve">: where Party B requires an invoice, Party A shall issue a lawful invoice</w:t>
      </w:r>
      <w:r>
        <w:t xml:space="preserve"> </w:t>
      </w:r>
      <w:r>
        <w:t xml:space="preserve">under the applicable rules; the incidence of the related tax is as agreed in Clause 6.1.</w:t>
      </w:r>
    </w:p>
    <w:bookmarkEnd w:id="17"/>
    <w:bookmarkStart w:id="18" w:name="Xebea2b4dfe635005e8be826f76633ba950902ac"/>
    <w:p>
      <w:pPr>
        <w:pStyle w:val="Heading3"/>
      </w:pPr>
      <w:r>
        <w:t xml:space="preserve">Article 7. Rights and Obligations of Party A</w:t>
      </w:r>
    </w:p>
    <w:p>
      <w:pPr>
        <w:pStyle w:val="FirstParagraph"/>
      </w:pPr>
      <w:r>
        <w:rPr>
          <w:b/>
          <w:bCs/>
        </w:rPr>
        <w:t xml:space="preserve">7.1. Rights</w:t>
      </w:r>
    </w:p>
    <w:p>
      <w:pPr>
        <w:pStyle w:val="Compact"/>
        <w:numPr>
          <w:ilvl w:val="0"/>
          <w:numId w:val="1002"/>
        </w:numPr>
      </w:pPr>
      <w:r>
        <w:t xml:space="preserve">To require Party B to pay rent and other charges in full and on time;</w:t>
      </w:r>
    </w:p>
    <w:p>
      <w:pPr>
        <w:pStyle w:val="Compact"/>
        <w:numPr>
          <w:ilvl w:val="0"/>
          <w:numId w:val="1002"/>
        </w:numPr>
      </w:pPr>
      <w:r>
        <w:t xml:space="preserve">To require Party B to repair damage caused by Party B;</w:t>
      </w:r>
    </w:p>
    <w:p>
      <w:pPr>
        <w:pStyle w:val="Compact"/>
        <w:numPr>
          <w:ilvl w:val="0"/>
          <w:numId w:val="1002"/>
        </w:numPr>
      </w:pPr>
      <w:r>
        <w:t xml:space="preserve">To enter the property for inspection or repair on </w:t>
      </w:r>
      <w:r>
        <w:rPr>
          <w:rFonts w:hint="eastAsia"/>
        </w:rPr>
        <w:t xml:space="preserve">＿＿＿</w:t>
      </w:r>
      <w:r>
        <w:t xml:space="preserve"> hours’ notice and with Party B’s</w:t>
      </w:r>
      <w:r>
        <w:t xml:space="preserve"> </w:t>
      </w:r>
      <w:r>
        <w:t xml:space="preserve">consent (except in an emergency, of which Party B must be informed immediately afterwards).</w:t>
      </w:r>
    </w:p>
    <w:p>
      <w:pPr>
        <w:pStyle w:val="FirstParagraph"/>
      </w:pPr>
      <w:r>
        <w:rPr>
          <w:b/>
          <w:bCs/>
        </w:rPr>
        <w:t xml:space="preserve">7.2. Obligations</w:t>
      </w:r>
    </w:p>
    <w:p>
      <w:pPr>
        <w:pStyle w:val="Compact"/>
        <w:numPr>
          <w:ilvl w:val="0"/>
          <w:numId w:val="1003"/>
        </w:numPr>
      </w:pPr>
      <w:r>
        <w:t xml:space="preserve">To hand over the property and appurtenances on time;</w:t>
      </w:r>
    </w:p>
    <w:p>
      <w:pPr>
        <w:pStyle w:val="Compact"/>
        <w:numPr>
          <w:ilvl w:val="0"/>
          <w:numId w:val="1003"/>
        </w:numPr>
      </w:pPr>
      <w:r>
        <w:t xml:space="preserve">To ensure that the lease complies with applicable law;</w:t>
      </w:r>
    </w:p>
    <w:p>
      <w:pPr>
        <w:pStyle w:val="Compact"/>
        <w:numPr>
          <w:ilvl w:val="0"/>
          <w:numId w:val="1003"/>
        </w:numPr>
      </w:pPr>
      <w:r>
        <w:t xml:space="preserve">To ensure Party B’s independent and uninterrupted use throughout the term, save as</w:t>
      </w:r>
      <w:r>
        <w:t xml:space="preserve"> </w:t>
      </w:r>
      <w:r>
        <w:t xml:space="preserve">provided by law or this Agreement;</w:t>
      </w:r>
    </w:p>
    <w:p>
      <w:pPr>
        <w:pStyle w:val="Compact"/>
        <w:numPr>
          <w:ilvl w:val="0"/>
          <w:numId w:val="1003"/>
        </w:numPr>
      </w:pPr>
      <w:r>
        <w:t xml:space="preserve">To repair the main structure and any damage not caused by Party B;</w:t>
      </w:r>
    </w:p>
    <w:p>
      <w:pPr>
        <w:pStyle w:val="Compact"/>
        <w:numPr>
          <w:ilvl w:val="0"/>
          <w:numId w:val="1003"/>
        </w:numPr>
      </w:pPr>
      <w:r>
        <w:t xml:space="preserve">Not to interfere unlawfully with Party B’s property within the premises; to compensate</w:t>
      </w:r>
      <w:r>
        <w:t xml:space="preserve"> </w:t>
      </w:r>
      <w:r>
        <w:t xml:space="preserve">Party B for loss caused by such interference during the term;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Where Party B is a foreign national, to make the temporary residence declaration</w:t>
      </w:r>
      <w:r>
        <w:rPr>
          <w:b/>
          <w:bCs/>
        </w:rPr>
        <w:t xml:space="preserve"> </w:t>
      </w:r>
      <w:r>
        <w:rPr>
          <w:b/>
          <w:bCs/>
        </w:rPr>
        <w:t xml:space="preserve">required by law</w:t>
      </w:r>
      <w:r>
        <w:t xml:space="preserve"> </w:t>
      </w:r>
      <w:r>
        <w:t xml:space="preserve">(see Article 8bis).</w:t>
      </w:r>
    </w:p>
    <w:bookmarkEnd w:id="18"/>
    <w:bookmarkStart w:id="19" w:name="Xe516df2099c050bed2e8cae8b8437a91dfb9300"/>
    <w:p>
      <w:pPr>
        <w:pStyle w:val="Heading3"/>
      </w:pPr>
      <w:r>
        <w:t xml:space="preserve">Article 8. Rights and Obligations of Party B</w:t>
      </w:r>
    </w:p>
    <w:p>
      <w:pPr>
        <w:pStyle w:val="FirstParagraph"/>
      </w:pPr>
      <w:r>
        <w:rPr>
          <w:b/>
          <w:bCs/>
        </w:rPr>
        <w:t xml:space="preserve">8.1. Rights</w:t>
      </w:r>
    </w:p>
    <w:p>
      <w:pPr>
        <w:pStyle w:val="Compact"/>
        <w:numPr>
          <w:ilvl w:val="0"/>
          <w:numId w:val="1004"/>
        </w:numPr>
      </w:pPr>
      <w:r>
        <w:t xml:space="preserve">To receive and use the property as agreed;</w:t>
      </w:r>
    </w:p>
    <w:p>
      <w:pPr>
        <w:pStyle w:val="Compact"/>
        <w:numPr>
          <w:ilvl w:val="0"/>
          <w:numId w:val="1004"/>
        </w:numPr>
      </w:pPr>
      <w:r>
        <w:t xml:space="preserve">To require Party A to repair promptly any damage not caused by Party B, so as to ensure safety;</w:t>
      </w:r>
    </w:p>
    <w:p>
      <w:pPr>
        <w:pStyle w:val="Compact"/>
        <w:numPr>
          <w:ilvl w:val="0"/>
          <w:numId w:val="1004"/>
        </w:numPr>
      </w:pPr>
      <w:r>
        <w:t xml:space="preserve">On expiry or agreed termination, to remove property and equipment installed by Party B,</w:t>
      </w:r>
      <w:r>
        <w:t xml:space="preserve"> </w:t>
      </w:r>
      <w:r>
        <w:t xml:space="preserve">restoring the premises to their original condition (fair wear and tear excepted).</w:t>
      </w:r>
    </w:p>
    <w:p>
      <w:pPr>
        <w:pStyle w:val="FirstParagraph"/>
      </w:pPr>
      <w:r>
        <w:rPr>
          <w:b/>
          <w:bCs/>
        </w:rPr>
        <w:t xml:space="preserve">8.2. Obligations</w:t>
      </w:r>
    </w:p>
    <w:p>
      <w:pPr>
        <w:pStyle w:val="Compact"/>
        <w:numPr>
          <w:ilvl w:val="0"/>
          <w:numId w:val="1005"/>
        </w:numPr>
      </w:pPr>
      <w:r>
        <w:t xml:space="preserve">To use the property for the permitted use in Clause 1.2, to take care of it, and to repair</w:t>
      </w:r>
      <w:r>
        <w:t xml:space="preserve"> </w:t>
      </w:r>
      <w:r>
        <w:t xml:space="preserve">damage caused by Party B;</w:t>
      </w:r>
    </w:p>
    <w:p>
      <w:pPr>
        <w:pStyle w:val="Compact"/>
        <w:numPr>
          <w:ilvl w:val="0"/>
          <w:numId w:val="1005"/>
        </w:numPr>
      </w:pPr>
      <w:r>
        <w:t xml:space="preserve">To pay the deposit, rent and charges for which Party B is responsible, in full and on time;</w:t>
      </w:r>
    </w:p>
    <w:p>
      <w:pPr>
        <w:pStyle w:val="Compact"/>
        <w:numPr>
          <w:ilvl w:val="0"/>
          <w:numId w:val="1005"/>
        </w:numPr>
      </w:pPr>
      <w:r>
        <w:t xml:space="preserve">On expiry or termination, to return the property and appurtenances in the condition</w:t>
      </w:r>
      <w:r>
        <w:t xml:space="preserve"> </w:t>
      </w:r>
      <w:r>
        <w:t xml:space="preserve">recorded in the</w:t>
      </w:r>
      <w:r>
        <w:t xml:space="preserve"> </w:t>
      </w:r>
      <w:r>
        <w:rPr>
          <w:i/>
          <w:iCs/>
        </w:rPr>
        <w:t xml:space="preserve">Handover Record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To notify Party A in writing and obtain Party A’s written consent before any repair,</w:t>
      </w:r>
      <w:r>
        <w:t xml:space="preserve"> </w:t>
      </w:r>
      <w:r>
        <w:t xml:space="preserve">alteration or installation affecting the structure;</w:t>
      </w:r>
    </w:p>
    <w:p>
      <w:pPr>
        <w:pStyle w:val="Compact"/>
        <w:numPr>
          <w:ilvl w:val="0"/>
          <w:numId w:val="1005"/>
        </w:numPr>
      </w:pPr>
      <w:r>
        <w:t xml:space="preserve">To comply with this Agreement, Vietnamese law and the rules of the building or residential area.</w:t>
      </w:r>
    </w:p>
    <w:bookmarkEnd w:id="19"/>
    <w:bookmarkStart w:id="20" w:name="Xdd9de2a7efc8997f5714238fe33fec744299fa6"/>
    <w:p>
      <w:pPr>
        <w:pStyle w:val="Heading3"/>
      </w:pPr>
      <w:r>
        <w:t xml:space="preserve">Article 8bis. Temporary Residence Declaration for a Foreign Lessee (duty to cooperate)</w:t>
      </w:r>
    </w:p>
    <w:p>
      <w:pPr>
        <w:pStyle w:val="FirstParagraph"/>
      </w:pPr>
      <w:r>
        <w:rPr>
          <w:b/>
          <w:bCs/>
        </w:rPr>
        <w:t xml:space="preserve">8bis.1.</w:t>
      </w:r>
      <w:r>
        <w:t xml:space="preserve"> </w:t>
      </w:r>
      <w:r>
        <w:t xml:space="preserve">Where Party B or a co-occupant is a foreign national, the Parties acknowledge</w:t>
      </w:r>
      <w:r>
        <w:t xml:space="preserve"> </w:t>
      </w:r>
      <w:r>
        <w:t xml:space="preserve">that under</w:t>
      </w:r>
      <w:r>
        <w:t xml:space="preserve"> </w:t>
      </w:r>
      <w:r>
        <w:rPr>
          <w:b/>
          <w:bCs/>
        </w:rPr>
        <w:t xml:space="preserve">Article 32 of the Law on Entry, Exit, Transit and Residence of Foreigners in</w:t>
      </w:r>
      <w:r>
        <w:rPr>
          <w:b/>
          <w:bCs/>
        </w:rPr>
        <w:t xml:space="preserve"> </w:t>
      </w:r>
      <w:r>
        <w:rPr>
          <w:b/>
          <w:bCs/>
        </w:rPr>
        <w:t xml:space="preserve">Vietnam (2014, amended 2019)</w:t>
      </w:r>
      <w:r>
        <w:t xml:space="preserve">,</w:t>
      </w:r>
      <w:r>
        <w:t xml:space="preserve"> </w:t>
      </w:r>
      <w:r>
        <w:rPr>
          <w:b/>
          <w:bCs/>
        </w:rPr>
        <w:t xml:space="preserve">a private dwelling counts as an</w:t>
      </w:r>
      <w:r>
        <w:rPr>
          <w:b/>
          <w:bCs/>
        </w:rPr>
        <w:t xml:space="preserve"> </w:t>
      </w:r>
      <w:r>
        <w:rPr>
          <w:b/>
          <w:bCs/>
        </w:rPr>
        <w:t xml:space="preserve">“accommodation</w:t>
      </w:r>
      <w:r>
        <w:rPr>
          <w:b/>
          <w:bCs/>
        </w:rPr>
        <w:t xml:space="preserve"> </w:t>
      </w:r>
      <w:r>
        <w:rPr>
          <w:b/>
          <w:bCs/>
        </w:rPr>
        <w:t xml:space="preserve">establishment”</w:t>
      </w:r>
      <w:r>
        <w:rPr>
          <w:b/>
          <w:bCs/>
        </w:rPr>
        <w:t xml:space="preserve"> </w:t>
      </w:r>
      <w:r>
        <w:rPr>
          <w:b/>
          <w:bCs/>
        </w:rPr>
        <w:t xml:space="preserve">even if it is not operated as a business</w:t>
      </w:r>
      <w:r>
        <w:t xml:space="preserve">, and</w:t>
      </w:r>
      <w:r>
        <w:t xml:space="preserve"> </w:t>
      </w:r>
      <w:r>
        <w:rPr>
          <w:b/>
          <w:bCs/>
        </w:rPr>
        <w:t xml:space="preserve">Party A (the landlord)</w:t>
      </w:r>
      <w:r>
        <w:rPr>
          <w:b/>
          <w:bCs/>
        </w:rPr>
        <w:t xml:space="preserve"> </w:t>
      </w:r>
      <w:r>
        <w:rPr>
          <w:b/>
          <w:bCs/>
        </w:rPr>
        <w:t xml:space="preserve">bears the duty to declare the temporary residence</w:t>
      </w:r>
      <w:r>
        <w:t xml:space="preserve"> </w:t>
      </w:r>
      <w:r>
        <w:t xml:space="preserve">of foreign occupants.</w:t>
      </w:r>
    </w:p>
    <w:p>
      <w:pPr>
        <w:pStyle w:val="BodyText"/>
      </w:pPr>
      <w:r>
        <w:rPr>
          <w:b/>
          <w:bCs/>
        </w:rPr>
        <w:t xml:space="preserve">8bis.2.</w:t>
      </w:r>
      <w:r>
        <w:t xml:space="preserve"> </w:t>
      </w:r>
      <w:r>
        <w:t xml:space="preserve">The declaration must be made within</w:t>
      </w:r>
      <w:r>
        <w:t xml:space="preserve"> </w:t>
      </w:r>
      <w:r>
        <w:rPr>
          <w:b/>
          <w:bCs/>
        </w:rPr>
        <w:t xml:space="preserve">12 hours</w:t>
      </w:r>
      <w:r>
        <w:t xml:space="preserve"> </w:t>
      </w:r>
      <w:r>
        <w:t xml:space="preserve">of the foreign national’s</w:t>
      </w:r>
      <w:r>
        <w:t xml:space="preserve"> </w:t>
      </w:r>
      <w:r>
        <w:t xml:space="preserve">arrival at the accommodation;</w:t>
      </w:r>
      <w:r>
        <w:t xml:space="preserve"> </w:t>
      </w:r>
      <w:r>
        <w:rPr>
          <w:b/>
          <w:bCs/>
        </w:rPr>
        <w:t xml:space="preserve">24 hours</w:t>
      </w:r>
      <w:r>
        <w:t xml:space="preserve"> </w:t>
      </w:r>
      <w:r>
        <w:t xml:space="preserve">in remote areas.</w:t>
      </w:r>
    </w:p>
    <w:p>
      <w:pPr>
        <w:pStyle w:val="BodyText"/>
      </w:pPr>
      <w:r>
        <w:rPr>
          <w:b/>
          <w:bCs/>
        </w:rPr>
        <w:t xml:space="preserve">8bis.3.</w:t>
      </w:r>
      <w:r>
        <w:t xml:space="preserve"> </w:t>
      </w:r>
      <w:r>
        <w:t xml:space="preserve">Party B shall provide Party A promptly — before moving in and on any change of</w:t>
      </w:r>
      <w:r>
        <w:t xml:space="preserve"> </w:t>
      </w:r>
      <w:r>
        <w:t xml:space="preserve">occupants — with passport, visa or residence card details for itself and for any foreign</w:t>
      </w:r>
      <w:r>
        <w:t xml:space="preserve"> </w:t>
      </w:r>
      <w:r>
        <w:t xml:space="preserve">co-occupants, so that Party A can discharge that duty. Where Party B fails to provide such</w:t>
      </w:r>
      <w:r>
        <w:t xml:space="preserve"> </w:t>
      </w:r>
      <w:r>
        <w:t xml:space="preserve">information, or provides inaccurate information, so that Party A cannot declare on time,</w:t>
      </w:r>
      <w:r>
        <w:t xml:space="preserve"> </w:t>
      </w:r>
      <w:r>
        <w:t xml:space="preserve">Party B bears the resulting administrative liability.</w:t>
      </w:r>
    </w:p>
    <w:p>
      <w:pPr>
        <w:pStyle w:val="BodyText"/>
      </w:pPr>
      <w:r>
        <w:rPr>
          <w:b/>
          <w:bCs/>
        </w:rPr>
        <w:t xml:space="preserve">8bis.4.</w:t>
      </w:r>
      <w:r>
        <w:t xml:space="preserve"> </w:t>
      </w:r>
      <w:r>
        <w:t xml:space="preserve">Where Party A fails to declare as required, Party A bears the corresponding</w:t>
      </w:r>
      <w:r>
        <w:t xml:space="preserve"> </w:t>
      </w:r>
      <w:r>
        <w:t xml:space="preserve">administrative liability.</w:t>
      </w:r>
    </w:p>
    <w:p>
      <w:pPr>
        <w:pStyle w:val="BlockText"/>
      </w:pPr>
      <w:r>
        <w:rPr>
          <w:b/>
          <w:bCs/>
        </w:rPr>
        <w:t xml:space="preserve">Why this stands as a separate article</w:t>
      </w:r>
      <w:r>
        <w:t xml:space="preserve">: the original template made no mention of</w:t>
      </w:r>
      <w:r>
        <w:t xml:space="preserve"> </w:t>
      </w:r>
      <w:r>
        <w:t xml:space="preserve">temporary residence declaration. The duty falls in law on the</w:t>
      </w:r>
      <w:r>
        <w:t xml:space="preserve"> </w:t>
      </w:r>
      <w:r>
        <w:rPr>
          <w:b/>
          <w:bCs/>
        </w:rPr>
        <w:t xml:space="preserve">landlord</w:t>
      </w:r>
      <w:r>
        <w:t xml:space="preserve">, yet the</w:t>
      </w:r>
      <w:r>
        <w:t xml:space="preserve"> </w:t>
      </w:r>
      <w:r>
        <w:t xml:space="preserve">landlord cannot discharge it without the tenant’s documents; in practice many disputes</w:t>
      </w:r>
      <w:r>
        <w:t xml:space="preserve"> </w:t>
      </w:r>
      <w:r>
        <w:t xml:space="preserve">arise because neither side knows the duty exists. Failure to declare on time attracts an</w:t>
      </w:r>
      <w:r>
        <w:t xml:space="preserve"> </w:t>
      </w:r>
      <w:r>
        <w:t xml:space="preserve">administrative fine (</w:t>
      </w:r>
      <w:r>
        <w:rPr>
          <w:b/>
          <w:bCs/>
        </w:rPr>
        <w:t xml:space="preserve">the amount depends on the current sanctioning decree; this template</w:t>
      </w:r>
      <w:r>
        <w:rPr>
          <w:b/>
          <w:bCs/>
        </w:rPr>
        <w:t xml:space="preserve"> </w:t>
      </w:r>
      <w:r>
        <w:rPr>
          <w:b/>
          <w:bCs/>
        </w:rPr>
        <w:t xml:space="preserve">states no figure</w:t>
      </w:r>
      <w:r>
        <w:t xml:space="preserve">).</w:t>
      </w:r>
    </w:p>
    <w:bookmarkEnd w:id="20"/>
    <w:bookmarkStart w:id="21" w:name="article-9.-termination"/>
    <w:p>
      <w:pPr>
        <w:pStyle w:val="Heading3"/>
      </w:pPr>
      <w:r>
        <w:t xml:space="preserve">Article 9. Termination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A Party wishing to terminate before expiry must give</w:t>
      </w:r>
      <w:r>
        <w:t xml:space="preserve"> </w:t>
      </w:r>
      <w:r>
        <w:rPr>
          <w:b/>
          <w:bCs/>
        </w:rPr>
        <w:t xml:space="preserve">at least 30 (thirty) days’</w:t>
      </w:r>
      <w:r>
        <w:t xml:space="preserve"> </w:t>
      </w:r>
      <w:r>
        <w:t xml:space="preserve">written notice to the other Party.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A Party failing to give such notice shall compensate the other Party in a sum equal</w:t>
      </w:r>
      <w:r>
        <w:t xml:space="preserve"> </w:t>
      </w:r>
      <w:r>
        <w:t xml:space="preserve">to the rent for the notice period not given, together with other losses arising from the</w:t>
      </w:r>
      <w:r>
        <w:t xml:space="preserve"> </w:t>
      </w:r>
      <w:r>
        <w:t xml:space="preserve">termination in breach; the deposit is dealt with under Clause 5.4.</w:t>
      </w:r>
    </w:p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The innocent Party may terminate immediately and claim damages where:</w:t>
      </w:r>
    </w:p>
    <w:p>
      <w:pPr>
        <w:pStyle w:val="Compact"/>
        <w:numPr>
          <w:ilvl w:val="0"/>
          <w:numId w:val="1006"/>
        </w:numPr>
      </w:pPr>
      <w:r>
        <w:t xml:space="preserve">Party B fails to pay rent for </w:t>
      </w:r>
      <w:r>
        <w:rPr>
          <w:rFonts w:hint="eastAsia"/>
        </w:rPr>
        <w:t xml:space="preserve">＿＿＿</w:t>
      </w:r>
      <w:r>
        <w:t xml:space="preserve"> consecutive months and still fails to pay within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days of written demand;</w:t>
      </w:r>
    </w:p>
    <w:p>
      <w:pPr>
        <w:pStyle w:val="Compact"/>
        <w:numPr>
          <w:ilvl w:val="0"/>
          <w:numId w:val="1006"/>
        </w:numPr>
      </w:pPr>
      <w:r>
        <w:t xml:space="preserve">Party B changes the permitted use in Clause 1.2 without authority, or sublets without</w:t>
      </w:r>
      <w:r>
        <w:t xml:space="preserve"> </w:t>
      </w:r>
      <w:r>
        <w:t xml:space="preserve">Party A’s written consent;</w:t>
      </w:r>
    </w:p>
    <w:p>
      <w:pPr>
        <w:pStyle w:val="Compact"/>
        <w:numPr>
          <w:ilvl w:val="0"/>
          <w:numId w:val="1006"/>
        </w:numPr>
      </w:pPr>
      <w:r>
        <w:t xml:space="preserve">Party A fails to hand over the property as agreed and still fails to do so within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days of written demand;</w:t>
      </w:r>
    </w:p>
    <w:p>
      <w:pPr>
        <w:pStyle w:val="Compact"/>
        <w:numPr>
          <w:ilvl w:val="0"/>
          <w:numId w:val="1006"/>
        </w:numPr>
      </w:pPr>
      <w:r>
        <w:t xml:space="preserve">The property becomes unfit for use otherwise than through Party B’s fault.</w:t>
      </w:r>
    </w:p>
    <w:p>
      <w:pPr>
        <w:pStyle w:val="FirstParagraph"/>
      </w:pPr>
      <w:r>
        <w:rPr>
          <w:b/>
          <w:bCs/>
        </w:rPr>
        <w:t xml:space="preserve">9.4. Force majeure</w:t>
      </w:r>
      <w:r>
        <w:t xml:space="preserve">: where force majeure prevents performance, neither Party is liable</w:t>
      </w:r>
      <w:r>
        <w:t xml:space="preserve"> </w:t>
      </w:r>
      <w:r>
        <w:t xml:space="preserve">for breach, but each must notify the other promptly and provide evidence; if the event</w:t>
      </w:r>
      <w:r>
        <w:t xml:space="preserve"> </w:t>
      </w:r>
      <w:r>
        <w:t xml:space="preserve">continues beyond </w:t>
      </w:r>
      <w:r>
        <w:rPr>
          <w:rFonts w:hint="eastAsia"/>
        </w:rPr>
        <w:t xml:space="preserve">＿＿＿</w:t>
      </w:r>
      <w:r>
        <w:t xml:space="preserve"> days, either Party may terminate.</w:t>
      </w:r>
    </w:p>
    <w:bookmarkEnd w:id="21"/>
    <w:bookmarkStart w:id="22" w:name="article-10.-dispute-resolution"/>
    <w:p>
      <w:pPr>
        <w:pStyle w:val="Heading3"/>
      </w:pPr>
      <w:r>
        <w:t xml:space="preserve">Article 10. Dispute Resolution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Disputes arising from this Agreement shall first be resolved by negotiation.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Failing negotiation, either Party may bring proceedings before the</w:t>
      </w:r>
      <w:r>
        <w:t xml:space="preserve"> </w:t>
      </w:r>
      <w:r>
        <w:rPr>
          <w:b/>
          <w:bCs/>
        </w:rPr>
        <w:t xml:space="preserve">competent court of Vietnam</w:t>
      </w:r>
      <w:r>
        <w:t xml:space="preserve">.</w:t>
      </w:r>
    </w:p>
    <w:bookmarkEnd w:id="22"/>
    <w:bookmarkStart w:id="23" w:name="article-11.-implementation"/>
    <w:p>
      <w:pPr>
        <w:pStyle w:val="Heading3"/>
      </w:pPr>
      <w:r>
        <w:t xml:space="preserve">Article 11. Implementation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This Agreement takes effect from the date of signing by both Parties.</w:t>
      </w:r>
    </w:p>
    <w:p>
      <w:pPr>
        <w:pStyle w:val="BodyText"/>
      </w:pPr>
      <w:r>
        <w:rPr>
          <w:b/>
          <w:bCs/>
        </w:rPr>
        <w:t xml:space="preserve">11.2. Notarisation</w:t>
      </w:r>
      <w:r>
        <w:t xml:space="preserve">: under the</w:t>
      </w:r>
      <w:r>
        <w:t xml:space="preserve"> </w:t>
      </w:r>
      <w:r>
        <w:rPr>
          <w:b/>
          <w:bCs/>
        </w:rPr>
        <w:t xml:space="preserve">Housing Law No. 27/2023/QH15</w:t>
      </w:r>
      <w:r>
        <w:t xml:space="preserve">, a</w:t>
      </w:r>
      <w:r>
        <w:t xml:space="preserve"> </w:t>
      </w:r>
      <w:r>
        <w:rPr>
          <w:b/>
          <w:bCs/>
        </w:rPr>
        <w:t xml:space="preserve">residential lease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 is not required to be notarised or authenticated</w:t>
      </w:r>
      <w:r>
        <w:t xml:space="preserve">, unless the parties wish it.</w:t>
      </w:r>
      <w:r>
        <w:t xml:space="preserve"> </w:t>
      </w:r>
      <w:r>
        <w:t xml:space="preserve">Absence of notarisation does not affect validity; in a dispute the Agreement remains</w:t>
      </w:r>
      <w:r>
        <w:t xml:space="preserve"> </w:t>
      </w:r>
      <w:r>
        <w:t xml:space="preserve">protected by law according to its terms.</w:t>
      </w:r>
    </w:p>
    <w:p>
      <w:pPr>
        <w:pStyle w:val="BlockText"/>
      </w:pPr>
      <w:r>
        <w:t xml:space="preserve">By contrast, contracts for the</w:t>
      </w:r>
      <w:r>
        <w:t xml:space="preserve"> </w:t>
      </w:r>
      <w:r>
        <w:rPr>
          <w:b/>
          <w:bCs/>
        </w:rPr>
        <w:t xml:space="preserve">sale, hire-purchase, gift, exchange, capital contribution</w:t>
      </w:r>
      <w:r>
        <w:rPr>
          <w:b/>
          <w:bCs/>
        </w:rPr>
        <w:t xml:space="preserve"> </w:t>
      </w:r>
      <w:r>
        <w:rPr>
          <w:b/>
          <w:bCs/>
        </w:rPr>
        <w:t xml:space="preserve">or mortgage</w:t>
      </w:r>
      <w:r>
        <w:t xml:space="preserve"> </w:t>
      </w:r>
      <w:r>
        <w:t xml:space="preserve">of housing</w:t>
      </w:r>
      <w:r>
        <w:t xml:space="preserve"> </w:t>
      </w:r>
      <w:r>
        <w:rPr>
          <w:b/>
          <w:bCs/>
        </w:rPr>
        <w:t xml:space="preserve">must be notarised or authenticated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leases are not among them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11.3.</w:t>
      </w:r>
      <w:r>
        <w:t xml:space="preserve"> </w:t>
      </w:r>
      <w:r>
        <w:t xml:space="preserve">Any amendment or supplement must be in writing and signed by both Parties; such</w:t>
      </w:r>
      <w:r>
        <w:t xml:space="preserve"> </w:t>
      </w:r>
      <w:r>
        <w:t xml:space="preserve">documents have the same legal validity as, and form an integral part of, this Agreement.</w:t>
      </w:r>
    </w:p>
    <w:p>
      <w:pPr>
        <w:pStyle w:val="BodyText"/>
      </w:pPr>
      <w:r>
        <w:rPr>
          <w:b/>
          <w:bCs/>
        </w:rPr>
        <w:t xml:space="preserve">11.4.</w:t>
      </w:r>
      <w:r>
        <w:t xml:space="preserve"> </w:t>
      </w:r>
      <w:r>
        <w:t xml:space="preserve">This Agreement is made in</w:t>
      </w:r>
      <w:r>
        <w:t xml:space="preserve"> </w:t>
      </w:r>
      <w:r>
        <w:rPr>
          <w:b/>
          <w:bCs/>
        </w:rPr>
        <w:t xml:space="preserve">Vietnamese and English</w:t>
      </w:r>
      <w:r>
        <w:t xml:space="preserve">, both of equal legal validity;</w:t>
      </w:r>
      <w:r>
        <w:t xml:space="preserve"> </w:t>
      </w:r>
      <w:r>
        <w:t xml:space="preserve">in the event of discrepancy,</w:t>
      </w:r>
      <w:r>
        <w:t xml:space="preserve"> </w:t>
      </w:r>
      <w:r>
        <w:rPr>
          <w:b/>
          <w:bCs/>
        </w:rPr>
        <w:t xml:space="preserve">the Vietnamese version prevails within the territory of Vietnam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11.5.</w:t>
      </w:r>
      <w:r>
        <w:t xml:space="preserve"> </w:t>
      </w:r>
      <w:r>
        <w:t xml:space="preserve">This Agreement is made in </w:t>
      </w:r>
      <w:r>
        <w:rPr>
          <w:rFonts w:hint="eastAsia"/>
        </w:rPr>
        <w:t xml:space="preserve">＿＿＿</w:t>
      </w:r>
      <w:r>
        <w:t xml:space="preserve"> counterparts of equal legal validity,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held by each Party.</w:t>
      </w:r>
    </w:p>
    <w:p>
      <w:pPr>
        <w:pStyle w:val="BodyText"/>
      </w:pPr>
      <w:r>
        <w:rPr>
          <w:b/>
          <w:bCs/>
        </w:rPr>
        <w:t xml:space="preserve">11.6. Appendices</w:t>
      </w:r>
      <w:r>
        <w:t xml:space="preserve">: (1)</w:t>
      </w:r>
      <w:r>
        <w:t xml:space="preserve"> </w:t>
      </w:r>
      <w:r>
        <w:rPr>
          <w:i/>
          <w:iCs/>
        </w:rPr>
        <w:t xml:space="preserve">Handover Record</w:t>
      </w:r>
      <w:r>
        <w:t xml:space="preserve">; (2) copy of Party A’s title documents;</w:t>
      </w:r>
      <w:r>
        <w:t xml:space="preserve"> </w:t>
      </w:r>
      <w:r>
        <w:t xml:space="preserve">(3) copies of the documents of Party B and co-occupants.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THE LESSOR (PARTY A)</w:t>
            </w:r>
          </w:p>
        </w:tc>
        <w:tc>
          <w:tcPr/>
          <w:p>
            <w:pPr>
              <w:pStyle w:val="Compact"/>
            </w:pPr>
            <w:r>
              <w:t xml:space="preserve">THE LESSEE (PARTY 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(Sign and state full name; affix seal if an entity)</w:t>
            </w:r>
          </w:p>
        </w:tc>
        <w:tc>
          <w:tcPr/>
          <w:p>
            <w:pPr>
              <w:pStyle w:val="Compact"/>
            </w:pPr>
            <w:r>
              <w:t xml:space="preserve">(Sign and state full name; affix seal if an entity)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X5a737102b380d35c2c5127fc0d0cf46e9d3aafd"/>
    <w:p>
      <w:pPr>
        <w:pStyle w:val="Heading1"/>
      </w:pPr>
      <w:r>
        <w:t xml:space="preserve">APPENDIX: LEGAL BASIS REFERENCED IN THIS TEMPLATE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Legal 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1.1 – description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Housing Law No. 27/2023/QH15</w:t>
            </w:r>
          </w:p>
        </w:tc>
        <w:tc>
          <w:tcPr/>
          <w:p>
            <w:pPr>
              <w:pStyle w:val="Compact"/>
            </w:pPr>
            <w:r>
              <w:t xml:space="preserve">Lease must be in writing, describing the housing and the particulars of the attached residential land plot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6.2 – tax on individual lessors</w:t>
            </w:r>
          </w:p>
        </w:tc>
        <w:tc>
          <w:tcPr/>
          <w:p>
            <w:pPr>
              <w:pStyle w:val="Compact"/>
            </w:pPr>
            <w:r>
              <w:t xml:space="preserve">Amended Law on Personal Income Tax, from 01/01/2026</w:t>
            </w:r>
          </w:p>
        </w:tc>
        <w:tc>
          <w:tcPr/>
          <w:p>
            <w:pPr>
              <w:pStyle w:val="Compact"/>
            </w:pPr>
            <w:r>
              <w:t xml:space="preserve">Annual revenue threshold raised from VND 100m to</w:t>
            </w:r>
            <w:r>
              <w:t xml:space="preserve"> </w:t>
            </w:r>
            <w:r>
              <w:rPr>
                <w:b/>
                <w:bCs/>
              </w:rPr>
              <w:t xml:space="preserve">VND 500m</w:t>
            </w:r>
            <w:r>
              <w:t xml:space="preserve">; at or below, VAT and PIT exempt; presumptive method abolished in favour of self-declaration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8bis – temporary residence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32</w:t>
            </w:r>
            <w:r>
              <w:t xml:space="preserve">, Law on Entry, Exit, Transit and Residence of Foreigners (2014, amended 2019)</w:t>
            </w:r>
          </w:p>
        </w:tc>
        <w:tc>
          <w:tcPr/>
          <w:p>
            <w:pPr>
              <w:pStyle w:val="Compact"/>
            </w:pPr>
            <w:r>
              <w:t xml:space="preserve">A private dwelling is an accommodation establishment; the landlord must declare; within</w:t>
            </w:r>
            <w:r>
              <w:t xml:space="preserve"> </w:t>
            </w:r>
            <w:r>
              <w:rPr>
                <w:b/>
                <w:bCs/>
              </w:rPr>
              <w:t xml:space="preserve">12 hours</w:t>
            </w:r>
            <w:r>
              <w:t xml:space="preserve"> </w:t>
            </w:r>
            <w:r>
              <w:t xml:space="preserve">(24 hours in remote areas)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11.2 – notarisation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Housing Law No. 27/2023/QH15</w:t>
            </w:r>
          </w:p>
        </w:tc>
        <w:tc>
          <w:tcPr/>
          <w:p>
            <w:pPr>
              <w:pStyle w:val="Compact"/>
            </w:pPr>
            <w:r>
              <w:t xml:space="preserve">Residential leases</w:t>
            </w:r>
            <w:r>
              <w:t xml:space="preserve"> </w:t>
            </w:r>
            <w:r>
              <w:rPr>
                <w:b/>
                <w:bCs/>
              </w:rPr>
              <w:t xml:space="preserve">need not be notarised</w:t>
            </w:r>
            <w:r>
              <w:t xml:space="preserve">; sale, gift and mortgage must be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Contractual basis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Civil Code No. 91/2015/QH13</w:t>
            </w:r>
          </w:p>
        </w:tc>
        <w:tc>
          <w:tcPr/>
          <w:p>
            <w:pPr>
              <w:pStyle w:val="Compact"/>
            </w:pPr>
            <w:r>
              <w:t xml:space="preserve">General provisions on lease of property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17 September 2026.</w:t>
      </w:r>
    </w:p>
    <w:p>
      <w:r>
        <w:pict>
          <v:rect style="width:0;height:1.5pt" o:hralign="center" o:hrstd="t" o:hr="t"/>
        </w:pict>
      </w:r>
    </w:p>
    <w:bookmarkEnd w:id="26"/>
    <w:bookmarkStart w:id="27" w:name="how-to-use-this-template-and-its-limits"/>
    <w:p>
      <w:pPr>
        <w:pStyle w:val="Heading1"/>
      </w:pPr>
      <w:r>
        <w:t xml:space="preserve">HOW TO USE THIS TEMPLATE, AND ITS LIMITS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This is a general template and does not constitute legal advice.</w:t>
      </w:r>
      <w:r>
        <w:t xml:space="preserve"> </w:t>
      </w:r>
      <w:r>
        <w:t xml:space="preserve">Residential leases,</w:t>
      </w:r>
      <w:r>
        <w:t xml:space="preserve"> </w:t>
      </w:r>
      <w:r>
        <w:t xml:space="preserve">office leases and factory leases are governed by different rules; have a</w:t>
      </w:r>
      <w:r>
        <w:t xml:space="preserve"> </w:t>
      </w:r>
      <w:r>
        <w:t xml:space="preserve">Vietnamese-qualified lawyer review it before signing.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The Vietnamese version prevails</w:t>
      </w:r>
      <w:r>
        <w:t xml:space="preserve"> </w:t>
      </w:r>
      <w:r>
        <w:t xml:space="preserve">within the territory of Vietnam.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Three things must be done before signing</w:t>
      </w:r>
      <w:r>
        <w:t xml:space="preserve">:</w:t>
      </w:r>
    </w:p>
    <w:p>
      <w:pPr>
        <w:pStyle w:val="Compact"/>
        <w:numPr>
          <w:ilvl w:val="1"/>
          <w:numId w:val="1008"/>
        </w:numPr>
      </w:pPr>
      <w:r>
        <w:rPr>
          <w:b/>
          <w:bCs/>
        </w:rPr>
        <w:t xml:space="preserve">inspect the original of Party A’s title documents</w:t>
      </w:r>
      <w:r>
        <w:t xml:space="preserve"> </w:t>
      </w:r>
      <w:r>
        <w:t xml:space="preserve">(and, for a sublease, the owner’s</w:t>
      </w:r>
      <w:r>
        <w:t xml:space="preserve"> </w:t>
      </w:r>
      <w:r>
        <w:t xml:space="preserve">written consent);</w:t>
      </w:r>
    </w:p>
    <w:p>
      <w:pPr>
        <w:pStyle w:val="Compact"/>
        <w:numPr>
          <w:ilvl w:val="1"/>
          <w:numId w:val="1008"/>
        </w:numPr>
      </w:pPr>
      <w:r>
        <w:rPr>
          <w:b/>
          <w:bCs/>
        </w:rPr>
        <w:t xml:space="preserve">sign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Handover Record</w:t>
      </w:r>
      <w:r>
        <w:rPr>
          <w:b/>
          <w:bCs/>
        </w:rPr>
        <w:t xml:space="preserve"> </w:t>
      </w:r>
      <w:r>
        <w:rPr>
          <w:b/>
          <w:bCs/>
        </w:rPr>
        <w:t xml:space="preserve">jointly and record the utility meter readings</w:t>
      </w:r>
      <w:r>
        <w:t xml:space="preserve">;</w:t>
      </w:r>
    </w:p>
    <w:p>
      <w:pPr>
        <w:pStyle w:val="Compact"/>
        <w:numPr>
          <w:ilvl w:val="1"/>
          <w:numId w:val="1008"/>
        </w:numPr>
      </w:pPr>
      <w:r>
        <w:t xml:space="preserve">where the lessee or a co-occupant is a foreign national,</w:t>
      </w:r>
      <w:r>
        <w:t xml:space="preserve"> </w:t>
      </w:r>
      <w:r>
        <w:rPr>
          <w:b/>
          <w:bCs/>
        </w:rPr>
        <w:t xml:space="preserve">confirm that both Parties</w:t>
      </w:r>
      <w:r>
        <w:rPr>
          <w:b/>
          <w:bCs/>
        </w:rPr>
        <w:t xml:space="preserve"> </w:t>
      </w:r>
      <w:r>
        <w:rPr>
          <w:b/>
          <w:bCs/>
        </w:rPr>
        <w:t xml:space="preserve">understand the temporary residence declaration duty and its deadline</w:t>
      </w:r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This template adds four structural items absent from the source</w:t>
      </w:r>
      <w:r>
        <w:t xml:space="preserve">: inspection of title</w:t>
      </w:r>
      <w:r>
        <w:t xml:space="preserve"> </w:t>
      </w:r>
      <w:r>
        <w:t xml:space="preserve">documents, a handover record with meter readings, temporary residence declaration for</w:t>
      </w:r>
      <w:r>
        <w:t xml:space="preserve"> </w:t>
      </w:r>
      <w:r>
        <w:t xml:space="preserve">foreign tenants, and the notarisation and tax provisions.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Legal provisions are time-sensitive.</w:t>
      </w:r>
      <w:r>
        <w:t xml:space="preserve"> </w:t>
      </w:r>
      <w:r>
        <w:t xml:space="preserve">The tax rules for individuals leasing property</w:t>
      </w:r>
      <w:r>
        <w:t xml:space="preserve"> </w:t>
      </w:r>
      <w:r>
        <w:t xml:space="preserve">changed materially on 01 January 2026.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This template contains no information relating to any particular company or individual.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House Lease Agreement Template (2026 Edition)</dc:title>
  <dc:creator/>
  <dc:language>en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