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 Channels in Vietnam and the 2026 Advertising Compliance Rules</w:t>
      </w:r>
    </w:p>
    <w:bookmarkStart w:id="21" w:name="X01b35e38a4c996ec6c69265f95b5e2a621624bc"/>
    <w:p>
      <w:pPr>
        <w:pStyle w:val="Heading1"/>
      </w:pPr>
      <w:r>
        <w:t xml:space="preserve">Marketing Channels in Vietnam and the 2026 Advertising Compliance Rules</w:t>
      </w:r>
    </w:p>
    <w:p>
      <w:pPr>
        <w:pStyle w:val="FirstParagraph"/>
      </w:pPr>
      <w:r>
        <w:rPr>
          <w:b/>
          <w:bCs/>
        </w:rPr>
        <w:t xml:space="preserve">2026 edition</w:t>
      </w:r>
    </w:p>
    <w:p>
      <w:pPr>
        <w:pStyle w:val="BodyText"/>
      </w:pPr>
      <w:r>
        <w:rPr>
          <w:b/>
          <w:bCs/>
        </w:rPr>
        <w:t xml:space="preserve">Legal verification date: 18 September 2026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b/>
          <w:bCs/>
        </w:rPr>
        <w:t xml:space="preserve">Why this note exists.</w:t>
      </w:r>
      <w:r>
        <w:t xml:space="preserve"> </w:t>
      </w:r>
      <w:r>
        <w:t xml:space="preserve">Over the thirty months from 2024 to 2026 Vietnam moved</w:t>
      </w:r>
      <w:r>
        <w:t xml:space="preserve"> </w:t>
      </w:r>
      <w:r>
        <w:t xml:space="preserve">selling online from a field with almost no dedicated legislation to one governed by</w:t>
      </w:r>
      <w:r>
        <w:t xml:space="preserve"> </w:t>
      </w:r>
      <w:r>
        <w:rPr>
          <w:b/>
          <w:bCs/>
        </w:rPr>
        <w:t xml:space="preserve">four statutes in force at the same time</w:t>
      </w:r>
      <w:r>
        <w:t xml:space="preserve">: a new advertising law, a personal data</w:t>
      </w:r>
      <w:r>
        <w:t xml:space="preserve"> </w:t>
      </w:r>
      <w:r>
        <w:t xml:space="preserve">protection law and an e-commerce law, with a separate decree governing social platforms.</w:t>
      </w:r>
    </w:p>
    <w:p>
      <w:pPr>
        <w:pStyle w:val="BlockText"/>
      </w:pPr>
      <w:r>
        <w:t xml:space="preserve">The change most often missed:</w:t>
      </w:r>
      <w:r>
        <w:t xml:space="preserve"> </w:t>
      </w:r>
      <w:r>
        <w:rPr>
          <w:b/>
          <w:bCs/>
        </w:rPr>
        <w:t xml:space="preserve">from 1 January 2026, KOLs and KOCs appear in Vietnamese</w:t>
      </w:r>
      <w:r>
        <w:rPr>
          <w:b/>
          <w:bCs/>
        </w:rPr>
        <w:t xml:space="preserve"> </w:t>
      </w:r>
      <w:r>
        <w:rPr>
          <w:b/>
          <w:bCs/>
        </w:rPr>
        <w:t xml:space="preserve">law for the first time</w:t>
      </w:r>
      <w:r>
        <w:t xml:space="preserve">, with their own statutory duties and liability. They are no</w:t>
      </w:r>
      <w:r>
        <w:t xml:space="preserve"> </w:t>
      </w:r>
      <w:r>
        <w:t xml:space="preserve">longer simply</w:t>
      </w:r>
      <w:r>
        <w:t xml:space="preserve"> </w:t>
      </w:r>
      <w:r>
        <w:t xml:space="preserve">“people who post for money”</w:t>
      </w:r>
      <w:r>
        <w:t xml:space="preserve">.</w:t>
      </w:r>
    </w:p>
    <w:p>
      <w:pPr>
        <w:pStyle w:val="BlockText"/>
      </w:pPr>
      <w:r>
        <w:t xml:space="preserve">Most Vietnam marketing guidance in circulation is still written against the</w:t>
      </w:r>
      <w:r>
        <w:t xml:space="preserve"> </w:t>
      </w:r>
      <w:r>
        <w:rPr>
          <w:b/>
          <w:bCs/>
        </w:rPr>
        <w:t xml:space="preserve">2012 Advertising Law</w:t>
      </w:r>
      <w:r>
        <w:t xml:space="preserve">. Follow that material and you will miss the whole of section II below.</w:t>
      </w:r>
    </w:p>
    <w:p>
      <w:r>
        <w:pict>
          <v:rect style="width:0;height:1.5pt" o:hralign="center" o:hrstd="t" o:hr="t"/>
        </w:pict>
      </w:r>
    </w:p>
    <w:bookmarkStart w:id="9" w:name="i.-four-dates-that-govern-2026"/>
    <w:p>
      <w:pPr>
        <w:pStyle w:val="Heading2"/>
      </w:pPr>
      <w:r>
        <w:t xml:space="preserve">I. Four Dates That Govern 2026</w:t>
      </w:r>
    </w:p>
    <w:p>
      <w:pPr>
        <w:pStyle w:val="FirstParagraph"/>
      </w:pPr>
      <w:r>
        <w:t xml:space="preserve">Ordered by effective date.</w:t>
      </w:r>
      <w:r>
        <w:t xml:space="preserve"> </w:t>
      </w:r>
      <w:r>
        <w:rPr>
          <w:b/>
          <w:bCs/>
        </w:rPr>
        <w:t xml:space="preserve">This column is the only reliable test of which rules apply to you today.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Effective</w:t>
            </w:r>
          </w:p>
        </w:tc>
        <w:tc>
          <w:tcPr/>
          <w:p>
            <w:pPr>
              <w:pStyle w:val="Compact"/>
            </w:pPr>
            <w:r>
              <w:t xml:space="preserve">Change</w:t>
            </w:r>
          </w:p>
        </w:tc>
        <w:tc>
          <w:tcPr/>
          <w:p>
            <w:pPr>
              <w:pStyle w:val="Compact"/>
            </w:pPr>
            <w:r>
              <w:t xml:space="preserve">Instrument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01/07/2024</w:t>
            </w:r>
          </w:p>
        </w:tc>
        <w:tc>
          <w:tcPr/>
          <w:p>
            <w:pPr>
              <w:pStyle w:val="Compact"/>
            </w:pPr>
            <w:r>
              <w:t xml:space="preserve">New consumer protection law;</w:t>
            </w:r>
            <w:r>
              <w:t xml:space="preserve"> </w:t>
            </w:r>
            <w:r>
              <w:rPr>
                <w:b/>
                <w:bCs/>
              </w:rPr>
              <w:t xml:space="preserve">undisclosed sponsorship of influencers expressly prohibited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19/2023/QH15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25/12/2024</w:t>
            </w:r>
          </w:p>
        </w:tc>
        <w:tc>
          <w:tcPr/>
          <w:p>
            <w:pPr>
              <w:pStyle w:val="Compact"/>
            </w:pPr>
            <w:r>
              <w:t xml:space="preserve">Social accounts must be verified;</w:t>
            </w:r>
            <w:r>
              <w:t xml:space="preserve"> </w:t>
            </w:r>
            <w:r>
              <w:rPr>
                <w:b/>
                <w:bCs/>
              </w:rPr>
              <w:t xml:space="preserve">unverified accounts may not post, livestream, comment or share</w:t>
            </w:r>
          </w:p>
        </w:tc>
        <w:tc>
          <w:tcPr/>
          <w:p>
            <w:pPr>
              <w:pStyle w:val="Compact"/>
            </w:pPr>
            <w:r>
              <w:t xml:space="preserve">Decree</w:t>
            </w:r>
            <w:r>
              <w:t xml:space="preserve"> </w:t>
            </w:r>
            <w:r>
              <w:rPr>
                <w:b/>
                <w:bCs/>
              </w:rPr>
              <w:t xml:space="preserve">147/2024/NĐ-CP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New advertising law in force</w:t>
            </w:r>
            <w:r>
              <w:t xml:space="preserve">; creates the statutory role of</w:t>
            </w:r>
            <w:r>
              <w:t xml:space="preserve"> </w:t>
            </w:r>
            <w:r>
              <w:t xml:space="preserve">“advertising content transmitter”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75/2025/QH15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Personal data protection law in force</w:t>
            </w:r>
            <w:r>
              <w:t xml:space="preserve">, replacing the earlier decree-level regime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91/2025/QH15</w:t>
            </w:r>
            <w:r>
              <w:t xml:space="preserve"> </w:t>
            </w:r>
            <w:r>
              <w:t xml:space="preserve">· Decree</w:t>
            </w:r>
            <w:r>
              <w:t xml:space="preserve"> </w:t>
            </w:r>
            <w:r>
              <w:rPr>
                <w:b/>
                <w:bCs/>
              </w:rPr>
              <w:t xml:space="preserve">356/2025/NĐ-CP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01/01/2026</w:t>
            </w:r>
          </w:p>
        </w:tc>
        <w:tc>
          <w:tcPr/>
          <w:p>
            <w:pPr>
              <w:pStyle w:val="Compact"/>
            </w:pPr>
            <w:r>
              <w:t xml:space="preserve">New special consumption tax law (changes the economics of beverage, alcohol and tobacco marketing)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01/07/2026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E-commerce law in force</w:t>
            </w:r>
            <w:r>
              <w:t xml:space="preserve"> </w:t>
            </w:r>
            <w:r>
              <w:t xml:space="preserve">— Vietnam’s first dedicated e-commerce statute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122/2025/QH15</w:t>
            </w:r>
          </w:p>
        </w:tc>
      </w:tr>
    </w:tbl>
    <w:p>
      <w:pPr>
        <w:pStyle w:val="BlockText"/>
      </w:pPr>
      <w:r>
        <w:rPr>
          <w:b/>
          <w:bCs/>
        </w:rPr>
        <w:t xml:space="preserve">Note the two different dates.</w:t>
      </w:r>
      <w:r>
        <w:t xml:space="preserve"> </w:t>
      </w:r>
      <w:r>
        <w:t xml:space="preserve">The advertising and data rules have applied since</w:t>
      </w:r>
      <w:r>
        <w:t xml:space="preserve"> </w:t>
      </w:r>
      <w:r>
        <w:rPr>
          <w:b/>
          <w:bCs/>
        </w:rPr>
        <w:t xml:space="preserve">1 January 2026</w:t>
      </w:r>
      <w:r>
        <w:t xml:space="preserve">; the e-commerce law only from</w:t>
      </w:r>
      <w:r>
        <w:t xml:space="preserve"> </w:t>
      </w:r>
      <w:r>
        <w:rPr>
          <w:b/>
          <w:bCs/>
        </w:rPr>
        <w:t xml:space="preserve">1 July 2026</w:t>
      </w:r>
      <w:r>
        <w:t xml:space="preserve">. An annual framework</w:t>
      </w:r>
      <w:r>
        <w:t xml:space="preserve"> </w:t>
      </w:r>
      <w:r>
        <w:t xml:space="preserve">agreement signed between those dates is likely to straddle a change in the governing law.</w:t>
      </w:r>
    </w:p>
    <w:p>
      <w:r>
        <w:pict>
          <v:rect style="width:0;height:1.5pt" o:hralign="center" o:hrstd="t" o:hr="t"/>
        </w:pict>
      </w:r>
    </w:p>
    <w:bookmarkEnd w:id="9"/>
    <w:bookmarkStart w:id="13" w:name="X6168dcc6d5033e6f02770ee911391a5574b7c11"/>
    <w:p>
      <w:pPr>
        <w:pStyle w:val="Heading2"/>
      </w:pPr>
      <w:r>
        <w:t xml:space="preserve">II. KOLs and KOCs: the Largest Change in 2026</w:t>
      </w:r>
    </w:p>
    <w:bookmarkStart w:id="10" w:name="the-law-finally-names-them"/>
    <w:p>
      <w:pPr>
        <w:pStyle w:val="Heading3"/>
      </w:pPr>
      <w:r>
        <w:t xml:space="preserve">2.1 The law finally names them</w:t>
      </w:r>
    </w:p>
    <w:p>
      <w:pPr>
        <w:pStyle w:val="FirstParagraph"/>
      </w:pPr>
      <w:r>
        <w:rPr>
          <w:b/>
          <w:bCs/>
        </w:rPr>
        <w:t xml:space="preserve">Law 75/2025/QH15</w:t>
      </w:r>
      <w:r>
        <w:t xml:space="preserve"> </w:t>
      </w:r>
      <w:r>
        <w:t xml:space="preserve">(passed by the National Assembly on 16 June 2025, in force 1 January 2026)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first substantive amendment</w:t>
      </w:r>
      <w:r>
        <w:t xml:space="preserve"> </w:t>
      </w:r>
      <w:r>
        <w:t xml:space="preserve">since the Advertising Law was enacted in 2012.</w:t>
      </w:r>
      <w:r>
        <w:t xml:space="preserve"> </w:t>
      </w:r>
      <w:r>
        <w:t xml:space="preserve">It inserts</w:t>
      </w:r>
      <w:r>
        <w:t xml:space="preserve"> </w:t>
      </w:r>
      <w:r>
        <w:rPr>
          <w:b/>
          <w:bCs/>
        </w:rPr>
        <w:t xml:space="preserve">Article 15a</w:t>
      </w:r>
      <w:r>
        <w:t xml:space="preserve"> </w:t>
      </w:r>
      <w:r>
        <w:t xml:space="preserve">after Article 15, establishing the statutory role of the</w:t>
      </w:r>
      <w:r>
        <w:t xml:space="preserve"> </w:t>
      </w:r>
      <w:r>
        <w:rPr>
          <w:b/>
          <w:bCs/>
        </w:rPr>
        <w:t xml:space="preserve">“advertising content transmitter”</w:t>
      </w:r>
      <w:r>
        <w:rPr>
          <w:b/>
          <w:bCs/>
        </w:rPr>
        <w:t xml:space="preserve"> </w:t>
      </w:r>
      <w:r>
        <w:rPr>
          <w:b/>
          <w:bCs/>
        </w:rPr>
        <w:t xml:space="preserve">(người chuyển tải sản phẩm quảng cáo)</w:t>
      </w:r>
      <w:r>
        <w:t xml:space="preserve"> </w:t>
      </w:r>
      <w:r>
        <w:t xml:space="preserve">— a person who,</w:t>
      </w:r>
      <w:r>
        <w:t xml:space="preserve"> </w:t>
      </w:r>
      <w:r>
        <w:t xml:space="preserve">for profit, introduces, recommends or endorses products, goods or services online or by</w:t>
      </w:r>
      <w:r>
        <w:t xml:space="preserve"> </w:t>
      </w:r>
      <w:r>
        <w:t xml:space="preserve">direct means.</w:t>
      </w:r>
    </w:p>
    <w:p>
      <w:pPr>
        <w:pStyle w:val="BodyText"/>
      </w:pPr>
      <w:r>
        <w:t xml:space="preserve">Article 15a(3) goes further and defines</w:t>
      </w:r>
      <w:r>
        <w:t xml:space="preserve"> </w:t>
      </w:r>
      <w:r>
        <w:rPr>
          <w:b/>
          <w:bCs/>
        </w:rPr>
        <w:t xml:space="preserve">influencers</w:t>
      </w:r>
      <w:r>
        <w:t xml:space="preserve"> </w:t>
      </w:r>
      <w:r>
        <w:t xml:space="preserve">as persons under the consumer</w:t>
      </w:r>
      <w:r>
        <w:t xml:space="preserve"> </w:t>
      </w:r>
      <w:r>
        <w:t xml:space="preserve">protection law who carry out advertising transmission activity.</w:t>
      </w:r>
    </w:p>
    <w:bookmarkEnd w:id="10"/>
    <w:bookmarkStart w:id="11" w:name="what-they-must-now-do"/>
    <w:p>
      <w:pPr>
        <w:pStyle w:val="Heading3"/>
      </w:pPr>
      <w:r>
        <w:t xml:space="preserve">2.2 What they must now do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Duty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Notify before and during</w:t>
            </w:r>
          </w:p>
        </w:tc>
        <w:tc>
          <w:tcPr/>
          <w:p>
            <w:pPr>
              <w:pStyle w:val="Compact"/>
            </w:pPr>
            <w:r>
              <w:t xml:space="preserve">Declare that the content is advertising, before and while advertising (in practice via</w:t>
            </w:r>
            <w:r>
              <w:t xml:space="preserve"> </w:t>
            </w:r>
            <w:r>
              <w:rPr>
                <w:rStyle w:val="VerbatimChar"/>
              </w:rPr>
              <w:t xml:space="preserve">#ads</w:t>
            </w:r>
            <w:r>
              <w:t xml:space="preserve">,</w:t>
            </w:r>
            <w:r>
              <w:t xml:space="preserve"> </w:t>
            </w:r>
            <w:r>
              <w:t xml:space="preserve">“sponsored”</w:t>
            </w:r>
            <w:r>
              <w:t xml:space="preserve"> </w:t>
            </w:r>
            <w:r>
              <w:t xml:space="preserve">and similar identifiers)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recommendation without use or understanding</w:t>
            </w:r>
          </w:p>
        </w:tc>
        <w:tc>
          <w:tcPr/>
          <w:p>
            <w:pPr>
              <w:pStyle w:val="Compact"/>
            </w:pPr>
            <w:r>
              <w:t xml:space="preserve">Where they have not used, or do not clearly understand, the product, they</w:t>
            </w:r>
            <w:r>
              <w:t xml:space="preserve"> </w:t>
            </w:r>
            <w:r>
              <w:rPr>
                <w:b/>
                <w:bCs/>
              </w:rPr>
              <w:t xml:space="preserve">must not introduce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Verify the advertiser</w:t>
            </w:r>
          </w:p>
        </w:tc>
        <w:tc>
          <w:tcPr/>
          <w:p>
            <w:pPr>
              <w:pStyle w:val="Compact"/>
            </w:pPr>
            <w:r>
              <w:t xml:space="preserve">Review documents relating to the advertised products and services and to the conditions for advertising them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Pay tax</w:t>
            </w:r>
          </w:p>
        </w:tc>
        <w:tc>
          <w:tcPr/>
          <w:p>
            <w:pPr>
              <w:pStyle w:val="Compact"/>
            </w:pPr>
            <w:r>
              <w:t xml:space="preserve">Meet tax obligations on advertising service revenue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Produce documents on request</w:t>
            </w:r>
          </w:p>
        </w:tc>
        <w:tc>
          <w:tcPr/>
          <w:p>
            <w:pPr>
              <w:pStyle w:val="Compact"/>
            </w:pPr>
            <w:r>
              <w:t xml:space="preserve">Supply advertising-related records when a competent authority asks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Bear liability</w:t>
            </w:r>
          </w:p>
        </w:tc>
        <w:tc>
          <w:tcPr/>
          <w:p>
            <w:pPr>
              <w:pStyle w:val="Compact"/>
            </w:pPr>
            <w:r>
              <w:t xml:space="preserve">Answer in law where the advertising content is false or misleading</w:t>
            </w:r>
          </w:p>
        </w:tc>
      </w:tr>
    </w:tbl>
    <w:p>
      <w:pPr>
        <w:pStyle w:val="BodyText"/>
      </w:pPr>
      <w:r>
        <w:t xml:space="preserve">Those advertising on the internet must also comply with the duties in</w:t>
      </w:r>
      <w:r>
        <w:t xml:space="preserve"> </w:t>
      </w:r>
      <w:r>
        <w:rPr>
          <w:b/>
          <w:bCs/>
        </w:rPr>
        <w:t xml:space="preserve">Article 23</w:t>
      </w:r>
      <w:r>
        <w:t xml:space="preserve"> </w:t>
      </w:r>
      <w:r>
        <w:t xml:space="preserve">of the Law.</w:t>
      </w:r>
    </w:p>
    <w:bookmarkEnd w:id="11"/>
    <w:bookmarkStart w:id="12" w:name="what-this-means-on-the-advertisers-side"/>
    <w:p>
      <w:pPr>
        <w:pStyle w:val="Heading3"/>
      </w:pPr>
      <w:r>
        <w:t xml:space="preserve">2.3 What this means on the advertiser’s side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“I only paid; the influencer wrote it”</w:t>
      </w:r>
      <w:r>
        <w:rPr>
          <w:b/>
          <w:bCs/>
        </w:rPr>
        <w:t xml:space="preserve"> </w:t>
      </w:r>
      <w:r>
        <w:rPr>
          <w:b/>
          <w:bCs/>
        </w:rPr>
        <w:t xml:space="preserve">is no longer a defence.</w:t>
      </w:r>
      <w:r>
        <w:t xml:space="preserve"> </w:t>
      </w:r>
      <w:r>
        <w:t xml:space="preserve">The transmitter carries</w:t>
      </w:r>
      <w:r>
        <w:t xml:space="preserve"> </w:t>
      </w:r>
      <w:r>
        <w:t xml:space="preserve">independent duties, but the advertiser owes a matching duty to give the transmitter</w:t>
      </w:r>
      <w:r>
        <w:t xml:space="preserve"> </w:t>
      </w:r>
      <w:r>
        <w:rPr>
          <w:b/>
          <w:bCs/>
        </w:rPr>
        <w:t xml:space="preserve">truthful, complete and accurate information</w:t>
      </w:r>
      <w:r>
        <w:t xml:space="preserve"> </w:t>
      </w:r>
      <w:r>
        <w:t xml:space="preserve">— Article 15a frames this as the</w:t>
      </w:r>
      <w:r>
        <w:t xml:space="preserve"> </w:t>
      </w:r>
      <w:r>
        <w:t xml:space="preserve">transmitter’s right, which is the advertiser’s obligation seen from the other side.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Undisclosed sponsorship has been unlawful since 1 July 2024, not 2026.</w:t>
      </w:r>
      <w:r>
        <w:t xml:space="preserve"> </w:t>
      </w:r>
      <w:r>
        <w:t xml:space="preserve">Law 19/2023/QH15 already lists, among prohibited conduct, a digital platform operator</w:t>
      </w:r>
      <w:r>
        <w:t xml:space="preserve"> </w:t>
      </w:r>
      <w:r>
        <w:t xml:space="preserve">using influencers to promote products without disclosing the sponsorship.</w:t>
      </w:r>
      <w:r>
        <w:t xml:space="preserve"> </w:t>
      </w:r>
      <w:r>
        <w:t xml:space="preserve">The 2026 advertising law extends that position; it does not create it.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statutory blacklist concept now exists.</w:t>
      </w:r>
      <w:r>
        <w:t xml:space="preserve"> </w:t>
      </w:r>
      <w:r>
        <w:t xml:space="preserve">The new law requires that you not cooperate</w:t>
      </w:r>
      <w:r>
        <w:t xml:space="preserve"> </w:t>
      </w:r>
      <w:r>
        <w:t xml:space="preserve">with advertising organisations, individuals, websites, social networks, applications,</w:t>
      </w:r>
      <w:r>
        <w:t xml:space="preserve"> </w:t>
      </w:r>
      <w:r>
        <w:t xml:space="preserve">digital platforms, accounts, content channels, community pages or community groups that</w:t>
      </w:r>
      <w:r>
        <w:t xml:space="preserve"> </w:t>
      </w:r>
      <w:r>
        <w:t xml:space="preserve">a competent state authority has</w:t>
      </w:r>
      <w:r>
        <w:t xml:space="preserve"> </w:t>
      </w:r>
      <w:r>
        <w:rPr>
          <w:b/>
          <w:bCs/>
        </w:rPr>
        <w:t xml:space="preserve">publicly notified as being in breach of the law</w:t>
      </w:r>
      <w:r>
        <w:t xml:space="preserve">.</w:t>
      </w:r>
      <w:r>
        <w:t xml:space="preserve"> </w:t>
      </w:r>
      <w:r>
        <w:rPr>
          <w:b/>
          <w:bCs/>
        </w:rPr>
        <w:t xml:space="preserve">Screening your media list has moved from risk-management preference to legal duty.</w:t>
      </w:r>
    </w:p>
    <w:p>
      <w:r>
        <w:pict>
          <v:rect style="width:0;height:1.5pt" o:hralign="center" o:hrstd="t" o:hr="t"/>
        </w:pict>
      </w:r>
    </w:p>
    <w:bookmarkEnd w:id="12"/>
    <w:bookmarkEnd w:id="13"/>
    <w:bookmarkStart w:id="14" w:name="Xc19ccfb2a4247556ac8a530ea766cf251d974b0"/>
    <w:p>
      <w:pPr>
        <w:pStyle w:val="Heading2"/>
      </w:pPr>
      <w:r>
        <w:t xml:space="preserve">III. Social Platforms: Account Verification Is a Precondition</w:t>
      </w:r>
    </w:p>
    <w:p>
      <w:pPr>
        <w:pStyle w:val="FirstParagraph"/>
      </w:pPr>
      <w:r>
        <w:rPr>
          <w:b/>
          <w:bCs/>
        </w:rPr>
        <w:t xml:space="preserve">Decree 147/2024/NĐ-CP</w:t>
      </w:r>
      <w:r>
        <w:t xml:space="preserve"> </w:t>
      </w:r>
      <w:r>
        <w:t xml:space="preserve">requires social network users to verify their account with a</w:t>
      </w:r>
      <w:r>
        <w:t xml:space="preserve"> </w:t>
      </w:r>
      <w:r>
        <w:rPr>
          <w:b/>
          <w:bCs/>
        </w:rPr>
        <w:t xml:space="preserve">mobile number or personal identification number</w:t>
      </w:r>
      <w:r>
        <w:t xml:space="preserve">.</w:t>
      </w:r>
      <w:r>
        <w:t xml:space="preserve"> </w:t>
      </w:r>
      <w:r>
        <w:rPr>
          <w:b/>
          <w:bCs/>
        </w:rPr>
        <w:t xml:space="preserve">Only verified accounts may post,</w:t>
      </w:r>
      <w:r>
        <w:rPr>
          <w:b/>
          <w:bCs/>
        </w:rPr>
        <w:t xml:space="preserve"> </w:t>
      </w:r>
      <w:r>
        <w:rPr>
          <w:b/>
          <w:bCs/>
        </w:rPr>
        <w:t xml:space="preserve">livestream, comment or share.</w:t>
      </w:r>
      <w:r>
        <w:t xml:space="preserve"> </w:t>
      </w:r>
      <w:r>
        <w:t xml:space="preserve">Existing users had</w:t>
      </w:r>
      <w:r>
        <w:t xml:space="preserve"> </w:t>
      </w:r>
      <w:r>
        <w:rPr>
          <w:b/>
          <w:bCs/>
        </w:rPr>
        <w:t xml:space="preserve">90 days</w:t>
      </w:r>
      <w:r>
        <w:t xml:space="preserve"> </w:t>
      </w:r>
      <w:r>
        <w:t xml:space="preserve">from the decree taking effect</w:t>
      </w:r>
      <w:r>
        <w:t xml:space="preserve"> </w:t>
      </w:r>
      <w:r>
        <w:t xml:space="preserve">to complete verification. Persons</w:t>
      </w:r>
      <w:r>
        <w:t xml:space="preserve"> </w:t>
      </w:r>
      <w:r>
        <w:rPr>
          <w:b/>
          <w:bCs/>
        </w:rPr>
        <w:t xml:space="preserve">under 16</w:t>
      </w:r>
      <w:r>
        <w:t xml:space="preserve"> </w:t>
      </w:r>
      <w:r>
        <w:t xml:space="preserve">may not open their own social media account.</w:t>
      </w:r>
    </w:p>
    <w:p>
      <w:pPr>
        <w:pStyle w:val="BodyText"/>
      </w:pPr>
      <w:r>
        <w:rPr>
          <w:b/>
          <w:bCs/>
        </w:rPr>
        <w:t xml:space="preserve">Three direct consequences for marketing: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Confirm verification before contracting</w:t>
      </w:r>
      <w:r>
        <w:t xml:space="preserve"> </w:t>
      </w:r>
      <w:r>
        <w:t xml:space="preserve">— an unverified account cannot publish, so the</w:t>
      </w:r>
      <w:r>
        <w:t xml:space="preserve"> </w:t>
      </w:r>
      <w:r>
        <w:t xml:space="preserve">booked slot simply fails.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Livestream commerce is particularly exposed</w:t>
      </w:r>
      <w:r>
        <w:t xml:space="preserve"> </w:t>
      </w:r>
      <w:r>
        <w:t xml:space="preserve">— livestreaming is one of the named activities.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Youth-facing account strategies need rework</w:t>
      </w:r>
      <w:r>
        <w:t xml:space="preserve"> </w:t>
      </w:r>
      <w:r>
        <w:t xml:space="preserve">where under-16s are involved.</w:t>
      </w:r>
    </w:p>
    <w:p>
      <w:r>
        <w:pict>
          <v:rect style="width:0;height:1.5pt" o:hralign="center" o:hrstd="t" o:hr="t"/>
        </w:pict>
      </w:r>
    </w:p>
    <w:bookmarkEnd w:id="14"/>
    <w:bookmarkStart w:id="15" w:name="X806b6bafe2f1bad1697122d82962659a911b671"/>
    <w:p>
      <w:pPr>
        <w:pStyle w:val="Heading2"/>
      </w:pPr>
      <w:r>
        <w:t xml:space="preserve">IV. E-commerce Platforms: a Dedicated Statute from 1 July 2026</w:t>
      </w:r>
    </w:p>
    <w:p>
      <w:pPr>
        <w:pStyle w:val="FirstParagraph"/>
      </w:pPr>
      <w:r>
        <w:rPr>
          <w:b/>
          <w:bCs/>
        </w:rPr>
        <w:t xml:space="preserve">Law 122/2025/QH15</w:t>
      </w:r>
      <w:r>
        <w:t xml:space="preserve"> </w:t>
      </w:r>
      <w:r>
        <w:t xml:space="preserve">(passed 10 December 2025, in force</w:t>
      </w:r>
      <w:r>
        <w:t xml:space="preserve"> </w:t>
      </w:r>
      <w:r>
        <w:rPr>
          <w:b/>
          <w:bCs/>
        </w:rPr>
        <w:t xml:space="preserve">1 July 2026</w:t>
      </w:r>
      <w:r>
        <w:t xml:space="preserve">) runs to</w:t>
      </w:r>
      <w:r>
        <w:t xml:space="preserve"> </w:t>
      </w:r>
      <w:r>
        <w:rPr>
          <w:b/>
          <w:bCs/>
        </w:rPr>
        <w:t xml:space="preserve">7 chapters and 41 articles</w:t>
      </w:r>
      <w:r>
        <w:t xml:space="preserve"> </w:t>
      </w:r>
      <w:r>
        <w:t xml:space="preserve">and is</w:t>
      </w:r>
      <w:r>
        <w:t xml:space="preserve"> </w:t>
      </w:r>
      <w:r>
        <w:rPr>
          <w:b/>
          <w:bCs/>
        </w:rPr>
        <w:t xml:space="preserve">Vietnam’s first statute comprehensively governing</w:t>
      </w:r>
      <w:r>
        <w:rPr>
          <w:b/>
          <w:bCs/>
        </w:rPr>
        <w:t xml:space="preserve"> </w:t>
      </w:r>
      <w:r>
        <w:rPr>
          <w:b/>
          <w:bCs/>
        </w:rPr>
        <w:t xml:space="preserve">e-commerce activity</w:t>
      </w:r>
      <w:r>
        <w:t xml:space="preserve">. Until now e-commerce was governed by decree-level rules stitched</w:t>
      </w:r>
      <w:r>
        <w:t xml:space="preserve"> </w:t>
      </w:r>
      <w:r>
        <w:t xml:space="preserve">together with general commercial law.</w:t>
      </w:r>
    </w:p>
    <w:p>
      <w:pPr>
        <w:pStyle w:val="BlockText"/>
      </w:pPr>
      <w:r>
        <w:rPr>
          <w:b/>
          <w:bCs/>
        </w:rPr>
        <w:t xml:space="preserve">Practical point.</w:t>
      </w:r>
      <w:r>
        <w:t xml:space="preserve"> </w:t>
      </w:r>
      <w:r>
        <w:t xml:space="preserve">Platform-side rules will change systematically over this year.</w:t>
      </w:r>
      <w:r>
        <w:t xml:space="preserve"> </w:t>
      </w:r>
      <w:r>
        <w:rPr>
          <w:b/>
          <w:bCs/>
        </w:rPr>
        <w:t xml:space="preserve">For platform agreements that straddle 1 July 2026, include a change-of-law clause</w:t>
      </w:r>
      <w:r>
        <w:t xml:space="preserve"> </w:t>
      </w:r>
      <w:r>
        <w:t xml:space="preserve">setting out how terms adjust when the rules move, rather than absorbing unilateral</w:t>
      </w:r>
      <w:r>
        <w:t xml:space="preserve"> </w:t>
      </w:r>
      <w:r>
        <w:t xml:space="preserve">platform policy changes after the fact.</w:t>
      </w:r>
    </w:p>
    <w:p>
      <w:pPr>
        <w:pStyle w:val="FirstParagraph"/>
      </w:pPr>
      <w:r>
        <w:rPr>
          <w:b/>
          <w:bCs/>
        </w:rPr>
        <w:t xml:space="preserve">This note does not set out the specific provisions of the e-commerce law</w:t>
      </w:r>
      <w:r>
        <w:t xml:space="preserve"> </w:t>
      </w:r>
      <w:r>
        <w:t xml:space="preserve">— as at the</w:t>
      </w:r>
      <w:r>
        <w:t xml:space="preserve"> </w:t>
      </w:r>
      <w:r>
        <w:t xml:space="preserve">verification date its implementing instruments had not been verified against primary text,</w:t>
      </w:r>
      <w:r>
        <w:t xml:space="preserve"> </w:t>
      </w:r>
      <w:r>
        <w:t xml:space="preserve">and under this channel’s editorial rule unverified content is left out.</w:t>
      </w:r>
    </w:p>
    <w:p>
      <w:r>
        <w:pict>
          <v:rect style="width:0;height:1.5pt" o:hralign="center" o:hrstd="t" o:hr="t"/>
        </w:pict>
      </w:r>
    </w:p>
    <w:bookmarkEnd w:id="15"/>
    <w:bookmarkStart w:id="16" w:name="Xff91c1d405617dd6312d8bc8d75d7a159f269a8"/>
    <w:p>
      <w:pPr>
        <w:pStyle w:val="Heading2"/>
      </w:pPr>
      <w:r>
        <w:t xml:space="preserve">V. Data-Driven Marketing: the Governing Law Changes on 1 January 2026</w:t>
      </w:r>
    </w:p>
    <w:p>
      <w:pPr>
        <w:pStyle w:val="FirstParagraph"/>
      </w:pPr>
      <w:r>
        <w:rPr>
          <w:b/>
          <w:bCs/>
        </w:rPr>
        <w:t xml:space="preserve">Law 91/2025/QH15</w:t>
      </w:r>
      <w:r>
        <w:t xml:space="preserve"> </w:t>
      </w:r>
      <w:r>
        <w:t xml:space="preserve">(Personal Data Protection) took effect on</w:t>
      </w:r>
      <w:r>
        <w:t xml:space="preserve"> </w:t>
      </w:r>
      <w:r>
        <w:rPr>
          <w:b/>
          <w:bCs/>
        </w:rPr>
        <w:t xml:space="preserve">1 January 2026</w:t>
      </w:r>
      <w:r>
        <w:t xml:space="preserve">, with</w:t>
      </w:r>
      <w:r>
        <w:t xml:space="preserve"> </w:t>
      </w:r>
      <w:r>
        <w:rPr>
          <w:b/>
          <w:bCs/>
        </w:rPr>
        <w:t xml:space="preserve">Decree 356/2025/NĐ-CP</w:t>
      </w:r>
      <w:r>
        <w:t xml:space="preserve"> </w:t>
      </w:r>
      <w:r>
        <w:t xml:space="preserve">as its implementing instrument. The law establishes citizens’</w:t>
      </w:r>
      <w:r>
        <w:t xml:space="preserve"> </w:t>
      </w:r>
      <w:r>
        <w:t xml:space="preserve">basic data rights, including the</w:t>
      </w:r>
      <w:r>
        <w:t xml:space="preserve"> </w:t>
      </w:r>
      <w:r>
        <w:rPr>
          <w:b/>
          <w:bCs/>
        </w:rPr>
        <w:t xml:space="preserve">right to know, to consent, to access, to rectify and to</w:t>
      </w:r>
      <w:r>
        <w:rPr>
          <w:b/>
          <w:bCs/>
        </w:rPr>
        <w:t xml:space="preserve"> </w:t>
      </w:r>
      <w:r>
        <w:rPr>
          <w:b/>
          <w:bCs/>
        </w:rPr>
        <w:t xml:space="preserve">request erasure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scope provision deserves particular attention from foreign-invested companies</w:t>
      </w:r>
      <w:r>
        <w:t xml:space="preserve">: the law</w:t>
      </w:r>
      <w:r>
        <w:t xml:space="preserve"> </w:t>
      </w:r>
      <w:r>
        <w:t xml:space="preserve">applies to every organisation and individual processing personal data in Vietnam,</w:t>
      </w:r>
      <w:r>
        <w:t xml:space="preserve"> </w:t>
      </w:r>
      <w:r>
        <w:rPr>
          <w:b/>
          <w:bCs/>
        </w:rPr>
        <w:t xml:space="preserve">and to foreign organisations directly engaged in or connected with the processing of</w:t>
      </w:r>
      <w:r>
        <w:rPr>
          <w:b/>
          <w:bCs/>
        </w:rPr>
        <w:t xml:space="preserve"> </w:t>
      </w:r>
      <w:r>
        <w:rPr>
          <w:b/>
          <w:bCs/>
        </w:rPr>
        <w:t xml:space="preserve">Vietnamese citizens’ personal data</w:t>
      </w:r>
      <w:r>
        <w:t xml:space="preserve">. In other words,</w:t>
      </w:r>
      <w:r>
        <w:t xml:space="preserve"> </w:t>
      </w:r>
      <w:r>
        <w:rPr>
          <w:b/>
          <w:bCs/>
        </w:rPr>
        <w:t xml:space="preserve">hosting the data abroad is not an exemption.</w:t>
      </w:r>
    </w:p>
    <w:p>
      <w:pPr>
        <w:pStyle w:val="BodyText"/>
      </w:pPr>
      <w:r>
        <w:t xml:space="preserve">For marketing this covers membership databases, email lists, remarketing audiences,</w:t>
      </w:r>
      <w:r>
        <w:t xml:space="preserve"> </w:t>
      </w:r>
      <w:r>
        <w:t xml:space="preserve">CRM integrations and third-party data purchases alike.</w:t>
      </w:r>
    </w:p>
    <w:p>
      <w:pPr>
        <w:pStyle w:val="BodyText"/>
      </w:pPr>
      <w:r>
        <w:rPr>
          <w:b/>
          <w:bCs/>
        </w:rPr>
        <w:t xml:space="preserve">This note does not provide consent templates or the cross-border transfer approval workflow</w:t>
      </w:r>
      <w:r>
        <w:t xml:space="preserve"> </w:t>
      </w:r>
      <w:r>
        <w:t xml:space="preserve">—</w:t>
      </w:r>
      <w:r>
        <w:t xml:space="preserve"> </w:t>
      </w:r>
      <w:r>
        <w:t xml:space="preserve">that requires verification against the text of Decree 356/2025/NĐ-CP and the authority’s own</w:t>
      </w:r>
      <w:r>
        <w:t xml:space="preserve"> </w:t>
      </w:r>
      <w:r>
        <w:t xml:space="preserve">forms, which has not been completed.</w:t>
      </w:r>
    </w:p>
    <w:p>
      <w:r>
        <w:pict>
          <v:rect style="width:0;height:1.5pt" o:hralign="center" o:hrstd="t" o:hr="t"/>
        </w:pict>
      </w:r>
    </w:p>
    <w:bookmarkEnd w:id="16"/>
    <w:bookmarkStart w:id="17" w:name="X42325cb6cd3b054ca8d92b211d33a275defd361"/>
    <w:p>
      <w:pPr>
        <w:pStyle w:val="Heading2"/>
      </w:pPr>
      <w:r>
        <w:t xml:space="preserve">VI. Category Red Lines: for Some Sectors the Question Is Not How, but Whether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Restriction</w:t>
            </w:r>
          </w:p>
        </w:tc>
        <w:tc>
          <w:tcPr/>
          <w:p>
            <w:pPr>
              <w:pStyle w:val="Compact"/>
            </w:pPr>
            <w:r>
              <w:t xml:space="preserve">Instrument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Spirits at 15% ABV and above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Advertising prohibited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Article 5(7)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Alcohol 5.5%–under 15% ABV; beer at 5.5% ABV and above</w:t>
            </w:r>
          </w:p>
        </w:tc>
        <w:tc>
          <w:tcPr/>
          <w:p>
            <w:pPr>
              <w:pStyle w:val="Compact"/>
            </w:pPr>
            <w:r>
              <w:t xml:space="preserve">Restricted: not in cultural, theatrical, cinematic or sporting activities, and not on outdoor advertising media (business signage at alcohol and beer premises excepted)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Article 12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Tobacco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Advertising and promotion prohibited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09/2012/QH13</w:t>
            </w:r>
            <w:r>
              <w:t xml:space="preserve">, Article 9(2)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Sugar-sweetened beverages</w:t>
            </w:r>
          </w:p>
        </w:tc>
        <w:tc>
          <w:tcPr/>
          <w:p>
            <w:pPr>
              <w:pStyle w:val="Compact"/>
            </w:pPr>
            <w:r>
              <w:t xml:space="preserve">Not restricted in advertising, but</w:t>
            </w:r>
            <w:r>
              <w:t xml:space="preserve"> </w:t>
            </w:r>
            <w:r>
              <w:rPr>
                <w:b/>
                <w:bCs/>
              </w:rPr>
              <w:t xml:space="preserve">the tax burden rises</w:t>
            </w:r>
            <w:r>
              <w:t xml:space="preserve">: products with sugar content above 5g/100mL under the national standard (TCVN) attract special consumption tax at</w:t>
            </w:r>
            <w:r>
              <w:t xml:space="preserve"> </w:t>
            </w:r>
            <w:r>
              <w:rPr>
                <w:b/>
                <w:bCs/>
              </w:rPr>
              <w:t xml:space="preserve">8% from 1 January 2027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/>
                <w:bCs/>
              </w:rPr>
              <w:t xml:space="preserve">10% from 1 January 2028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</w:tr>
    </w:tbl>
    <w:p>
      <w:pPr>
        <w:pStyle w:val="BlockText"/>
      </w:pPr>
      <w:r>
        <w:rPr>
          <w:b/>
          <w:bCs/>
        </w:rPr>
        <w:t xml:space="preserve">That last row is not an advertising restriction; it is marketing economics.</w:t>
      </w:r>
      <w:r>
        <w:t xml:space="preserve"> </w:t>
      </w:r>
      <w:r>
        <w:t xml:space="preserve">Two increases, in 2027 and 2028, mean the</w:t>
      </w:r>
      <w:r>
        <w:t xml:space="preserve"> </w:t>
      </w:r>
      <w:r>
        <w:rPr>
          <w:b/>
          <w:bCs/>
        </w:rPr>
        <w:t xml:space="preserve">2027 price architecture and promotional budget</w:t>
      </w:r>
      <w:r>
        <w:rPr>
          <w:b/>
          <w:bCs/>
        </w:rPr>
        <w:t xml:space="preserve"> </w:t>
      </w:r>
      <w:r>
        <w:rPr>
          <w:b/>
          <w:bCs/>
        </w:rPr>
        <w:t xml:space="preserve">being set today</w:t>
      </w:r>
      <w:r>
        <w:t xml:space="preserve"> </w:t>
      </w:r>
      <w:r>
        <w:t xml:space="preserve">must already account for them. Reformulating below the 5g/100mL threshold</w:t>
      </w:r>
      <w:r>
        <w:t xml:space="preserve"> </w:t>
      </w:r>
      <w:r>
        <w:t xml:space="preserve">is a product decision whose lead time is usually measured in years, not quarters.</w:t>
      </w:r>
    </w:p>
    <w:p>
      <w:r>
        <w:pict>
          <v:rect style="width:0;height:1.5pt" o:hralign="center" o:hrstd="t" o:hr="t"/>
        </w:pict>
      </w:r>
    </w:p>
    <w:bookmarkEnd w:id="17"/>
    <w:bookmarkStart w:id="18" w:name="vii.-working-checklist"/>
    <w:p>
      <w:pPr>
        <w:pStyle w:val="Heading2"/>
      </w:pPr>
      <w:r>
        <w:t xml:space="preserve">VII. Working Checklist</w:t>
      </w:r>
    </w:p>
    <w:p>
      <w:pPr>
        <w:pStyle w:val="FirstParagraph"/>
      </w:pPr>
      <w:r>
        <w:rPr>
          <w:b/>
          <w:bCs/>
        </w:rPr>
        <w:t xml:space="preserve">Before booking:</w:t>
      </w:r>
    </w:p>
    <w:p>
      <w:pPr>
        <w:pStyle w:val="Compact"/>
        <w:numPr>
          <w:ilvl w:val="0"/>
          <w:numId w:val="1003"/>
        </w:numPr>
      </w:pPr>
      <w:r>
        <w:t xml:space="preserve">Confirm the account or platform is not on a publicly notified list of legal violators</w:t>
      </w:r>
      <w:r>
        <w:t xml:space="preserve"> </w:t>
      </w:r>
      <w:r>
        <w:t xml:space="preserve">(a statutory duty, not a risk preference)</w:t>
      </w:r>
    </w:p>
    <w:p>
      <w:pPr>
        <w:pStyle w:val="Compact"/>
        <w:numPr>
          <w:ilvl w:val="0"/>
          <w:numId w:val="1003"/>
        </w:numPr>
      </w:pPr>
      <w:r>
        <w:t xml:space="preserve">Confirm the KOL/KOC account is verified under Decree 147/2024/NĐ-CP</w:t>
      </w:r>
    </w:p>
    <w:p>
      <w:pPr>
        <w:pStyle w:val="Compact"/>
        <w:numPr>
          <w:ilvl w:val="0"/>
          <w:numId w:val="1003"/>
        </w:numPr>
      </w:pPr>
      <w:r>
        <w:t xml:space="preserve">Assemble the product and service compliance documents and</w:t>
      </w:r>
      <w:r>
        <w:t xml:space="preserve"> </w:t>
      </w:r>
      <w:r>
        <w:rPr>
          <w:b/>
          <w:bCs/>
        </w:rPr>
        <w:t xml:space="preserve">actually hand them to the</w:t>
      </w:r>
      <w:r>
        <w:rPr>
          <w:b/>
          <w:bCs/>
        </w:rPr>
        <w:t xml:space="preserve"> </w:t>
      </w:r>
      <w:r>
        <w:rPr>
          <w:b/>
          <w:bCs/>
        </w:rPr>
        <w:t xml:space="preserve">transmitter</w:t>
      </w:r>
      <w:r>
        <w:t xml:space="preserve"> </w:t>
      </w:r>
      <w:r>
        <w:t xml:space="preserve">— this is the advertiser’s obligation</w:t>
      </w:r>
    </w:p>
    <w:p>
      <w:pPr>
        <w:pStyle w:val="Compact"/>
        <w:numPr>
          <w:ilvl w:val="0"/>
          <w:numId w:val="1003"/>
        </w:numPr>
      </w:pPr>
      <w:r>
        <w:t xml:space="preserve">Check the category red lines in section VI</w:t>
      </w:r>
    </w:p>
    <w:p>
      <w:pPr>
        <w:pStyle w:val="FirstParagraph"/>
      </w:pPr>
      <w:r>
        <w:rPr>
          <w:b/>
          <w:bCs/>
        </w:rPr>
        <w:t xml:space="preserve">Contract terms:</w:t>
      </w:r>
    </w:p>
    <w:p>
      <w:pPr>
        <w:pStyle w:val="Compact"/>
        <w:numPr>
          <w:ilvl w:val="0"/>
          <w:numId w:val="1004"/>
        </w:numPr>
      </w:pPr>
      <w:r>
        <w:t xml:space="preserve">State who applies the advertising identifier (</w:t>
      </w:r>
      <w:r>
        <w:rPr>
          <w:rStyle w:val="VerbatimChar"/>
        </w:rPr>
        <w:t xml:space="preserve">#ads</w:t>
      </w:r>
      <w:r>
        <w:t xml:space="preserve"> </w:t>
      </w:r>
      <w:r>
        <w:t xml:space="preserve">/ sponsorship declaration) and in what form</w:t>
      </w:r>
    </w:p>
    <w:p>
      <w:pPr>
        <w:pStyle w:val="Compact"/>
        <w:numPr>
          <w:ilvl w:val="0"/>
          <w:numId w:val="1004"/>
        </w:numPr>
      </w:pPr>
      <w:r>
        <w:t xml:space="preserve">State that the transmitter may recommend only after using or fully understanding the product</w:t>
      </w:r>
    </w:p>
    <w:p>
      <w:pPr>
        <w:pStyle w:val="Compact"/>
        <w:numPr>
          <w:ilvl w:val="0"/>
          <w:numId w:val="1004"/>
        </w:numPr>
      </w:pPr>
      <w:r>
        <w:t xml:space="preserve">Allocate the tax obligation</w:t>
      </w:r>
    </w:p>
    <w:p>
      <w:pPr>
        <w:pStyle w:val="Compact"/>
        <w:numPr>
          <w:ilvl w:val="0"/>
          <w:numId w:val="1004"/>
        </w:numPr>
      </w:pPr>
      <w:r>
        <w:t xml:space="preserve">Add a change-of-law mechanism to agreements straddling 1 July 2026</w:t>
      </w:r>
    </w:p>
    <w:p>
      <w:pPr>
        <w:pStyle w:val="FirstParagraph"/>
      </w:pPr>
      <w:r>
        <w:rPr>
          <w:b/>
          <w:bCs/>
        </w:rPr>
        <w:t xml:space="preserve">Records:</w:t>
      </w:r>
    </w:p>
    <w:p>
      <w:pPr>
        <w:pStyle w:val="Compact"/>
        <w:numPr>
          <w:ilvl w:val="0"/>
          <w:numId w:val="1005"/>
        </w:numPr>
      </w:pPr>
      <w:r>
        <w:t xml:space="preserve">Keep the product documentation given to the transmitter and proof of delivery —</w:t>
      </w:r>
      <w:r>
        <w:t xml:space="preserve"> </w:t>
      </w:r>
      <w:r>
        <w:t xml:space="preserve">authorities may require production</w:t>
      </w:r>
    </w:p>
    <w:p>
      <w:pPr>
        <w:pStyle w:val="Compact"/>
        <w:numPr>
          <w:ilvl w:val="0"/>
          <w:numId w:val="1005"/>
        </w:numPr>
      </w:pPr>
      <w:r>
        <w:t xml:space="preserve">Keep the final creative and the placement records</w:t>
      </w:r>
    </w:p>
    <w:p>
      <w:r>
        <w:pict>
          <v:rect style="width:0;height:1.5pt" o:hralign="center" o:hrstd="t" o:hr="t"/>
        </w:pict>
      </w:r>
    </w:p>
    <w:bookmarkEnd w:id="18"/>
    <w:bookmarkStart w:id="19" w:name="viii.-legal-basis-cited-in-this-note"/>
    <w:p>
      <w:pPr>
        <w:pStyle w:val="Heading2"/>
      </w:pPr>
      <w:r>
        <w:t xml:space="preserve">VIII. Legal Basis Cited in This Note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Topic</w:t>
            </w:r>
          </w:p>
        </w:tc>
        <w:tc>
          <w:tcPr/>
          <w:p>
            <w:pPr>
              <w:pStyle w:val="Compact"/>
            </w:pPr>
            <w:r>
              <w:t xml:space="preserve">Instrument</w:t>
            </w:r>
          </w:p>
        </w:tc>
        <w:tc>
          <w:tcPr/>
          <w:p>
            <w:pPr>
              <w:pStyle w:val="Compact"/>
            </w:pPr>
            <w:r>
              <w:t xml:space="preserve">Effective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Advertising and transmitter duties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75/2025/QH15</w:t>
            </w:r>
            <w:r>
              <w:t xml:space="preserve"> </w:t>
            </w:r>
            <w:r>
              <w:t xml:space="preserve">(new Article 15a; internet advertising at Article 23)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Consumer protection and undisclosed sponsorship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19/2023/QH15</w:t>
            </w:r>
          </w:p>
        </w:tc>
        <w:tc>
          <w:tcPr/>
          <w:p>
            <w:pPr>
              <w:pStyle w:val="Compact"/>
            </w:pPr>
            <w:r>
              <w:t xml:space="preserve">01/07/2024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Social account verification and posting rights</w:t>
            </w:r>
          </w:p>
        </w:tc>
        <w:tc>
          <w:tcPr/>
          <w:p>
            <w:pPr>
              <w:pStyle w:val="Compact"/>
            </w:pPr>
            <w:r>
              <w:t xml:space="preserve">Decree</w:t>
            </w:r>
            <w:r>
              <w:t xml:space="preserve"> </w:t>
            </w:r>
            <w:r>
              <w:rPr>
                <w:b/>
                <w:bCs/>
              </w:rPr>
              <w:t xml:space="preserve">147/2024/NĐ-CP</w:t>
            </w:r>
          </w:p>
        </w:tc>
        <w:tc>
          <w:tcPr/>
          <w:p>
            <w:pPr>
              <w:pStyle w:val="Compact"/>
            </w:pPr>
            <w:r>
              <w:t xml:space="preserve">25/12/2024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Personal data protection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91/2025/QH15</w:t>
            </w:r>
            <w:r>
              <w:t xml:space="preserve"> </w:t>
            </w:r>
            <w:r>
              <w:t xml:space="preserve">· Decree</w:t>
            </w:r>
            <w:r>
              <w:t xml:space="preserve"> </w:t>
            </w:r>
            <w:r>
              <w:rPr>
                <w:b/>
                <w:bCs/>
              </w:rPr>
              <w:t xml:space="preserve">356/2025/NĐ-CP</w:t>
            </w:r>
          </w:p>
        </w:tc>
        <w:tc>
          <w:tcPr/>
          <w:p>
            <w:pPr>
              <w:pStyle w:val="Compact"/>
            </w:pPr>
            <w:r>
              <w:t xml:space="preserve">01/01/2026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E-commerce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122/2025/QH15</w:t>
            </w:r>
          </w:p>
        </w:tc>
        <w:tc>
          <w:tcPr/>
          <w:p>
            <w:pPr>
              <w:pStyle w:val="Compact"/>
            </w:pPr>
            <w:r>
              <w:t xml:space="preserve">01/07/2026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Special consumption tax (incl. sugary drinks)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66/2025/QH15</w:t>
            </w:r>
          </w:p>
        </w:tc>
        <w:tc>
          <w:tcPr/>
          <w:p>
            <w:pPr>
              <w:pStyle w:val="Compact"/>
            </w:pPr>
            <w:r>
              <w:t xml:space="preserve">01/01/2026 (beverage rates phased 2027 / 2028)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Alcohol advertising restrictions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44/2019/QH14</w:t>
            </w:r>
            <w:r>
              <w:t xml:space="preserve">, Articles 5 and 12</w:t>
            </w:r>
          </w:p>
        </w:tc>
        <w:tc>
          <w:tcPr/>
          <w:p>
            <w:pPr>
              <w:pStyle w:val="Compact"/>
            </w:pPr>
            <w:r>
              <w:t xml:space="preserve">01/01/2020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Tobacco advertising ban</w:t>
            </w:r>
          </w:p>
        </w:tc>
        <w:tc>
          <w:tcPr/>
          <w:p>
            <w:pPr>
              <w:pStyle w:val="Compact"/>
            </w:pPr>
            <w:r>
              <w:t xml:space="preserve">Law</w:t>
            </w:r>
            <w:r>
              <w:t xml:space="preserve"> </w:t>
            </w:r>
            <w:r>
              <w:rPr>
                <w:b/>
                <w:bCs/>
              </w:rPr>
              <w:t xml:space="preserve">09/2012/QH13</w:t>
            </w:r>
            <w:r>
              <w:t xml:space="preserve">, Article 9</w:t>
            </w:r>
          </w:p>
        </w:tc>
        <w:tc>
          <w:tcPr/>
          <w:p>
            <w:pPr>
              <w:pStyle w:val="Compact"/>
            </w:pPr>
            <w:r>
              <w:t xml:space="preserve">01/05/2013</w:t>
            </w:r>
          </w:p>
        </w:tc>
      </w:tr>
    </w:tbl>
    <w:p>
      <w:pPr>
        <w:pStyle w:val="BodyText"/>
      </w:pPr>
      <w:r>
        <w:rPr>
          <w:b/>
          <w:bCs/>
        </w:rPr>
        <w:t xml:space="preserve">Legal verification date</w:t>
      </w:r>
      <w:r>
        <w:t xml:space="preserve">: 18 September 2026.</w:t>
      </w:r>
    </w:p>
    <w:p>
      <w:r>
        <w:pict>
          <v:rect style="width:0;height:1.5pt" o:hralign="center" o:hrstd="t" o:hr="t"/>
        </w:pict>
      </w:r>
    </w:p>
    <w:bookmarkEnd w:id="19"/>
    <w:bookmarkStart w:id="20" w:name="ix.-how-to-use-this-note-and-its-limits"/>
    <w:p>
      <w:pPr>
        <w:pStyle w:val="Heading2"/>
      </w:pPr>
      <w:r>
        <w:t xml:space="preserve">IX. How to Use This Note, and Its Limits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This is general reference material and does not constitute legal advice.</w:t>
      </w:r>
      <w:r>
        <w:t xml:space="preserve"> </w:t>
      </w:r>
      <w:r>
        <w:t xml:space="preserve">Advertising</w:t>
      </w:r>
      <w:r>
        <w:t xml:space="preserve"> </w:t>
      </w:r>
      <w:r>
        <w:t xml:space="preserve">compliance varies with category, medium and deal structure; obtain the advice of a</w:t>
      </w:r>
      <w:r>
        <w:t xml:space="preserve"> </w:t>
      </w:r>
      <w:r>
        <w:t xml:space="preserve">Vietnamese-qualified lawyer for a specific campaign.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What this note deliberately omits</w:t>
      </w:r>
      <w:r>
        <w:t xml:space="preserve">, because no citable primary source had been verified</w:t>
      </w:r>
      <w:r>
        <w:t xml:space="preserve"> </w:t>
      </w:r>
      <w:r>
        <w:t xml:space="preserve">as at the verification date:</w:t>
      </w:r>
    </w:p>
    <w:p>
      <w:pPr>
        <w:pStyle w:val="Compact"/>
        <w:numPr>
          <w:ilvl w:val="1"/>
          <w:numId w:val="1007"/>
        </w:numPr>
      </w:pPr>
      <w:r>
        <w:t xml:space="preserve">User numbers and market share of individual social and e-commerce platforms in Vietnam</w:t>
      </w:r>
      <w:r>
        <w:t xml:space="preserve"> </w:t>
      </w:r>
      <w:r>
        <w:t xml:space="preserve">(available figures come from commercial reports on inconsistent bases)</w:t>
      </w:r>
    </w:p>
    <w:p>
      <w:pPr>
        <w:pStyle w:val="Compact"/>
        <w:numPr>
          <w:ilvl w:val="1"/>
          <w:numId w:val="1007"/>
        </w:numPr>
      </w:pPr>
      <w:r>
        <w:t xml:space="preserve">E-commerce GMV and growth rates</w:t>
      </w:r>
    </w:p>
    <w:p>
      <w:pPr>
        <w:pStyle w:val="Compact"/>
        <w:numPr>
          <w:ilvl w:val="1"/>
          <w:numId w:val="1007"/>
        </w:numPr>
      </w:pPr>
      <w:r>
        <w:t xml:space="preserve">KOL/KOC rate cards and settlement conventions</w:t>
      </w:r>
    </w:p>
    <w:p>
      <w:pPr>
        <w:pStyle w:val="Compact"/>
        <w:numPr>
          <w:ilvl w:val="1"/>
          <w:numId w:val="1007"/>
        </w:numPr>
      </w:pPr>
      <w:r>
        <w:t xml:space="preserve">Specific fine amounts for advertising breaches (the sanctioning decrees have been amended</w:t>
      </w:r>
      <w:r>
        <w:t xml:space="preserve"> </w:t>
      </w:r>
      <w:r>
        <w:t xml:space="preserve">repeatedly and the currently effective version was not verified)</w:t>
      </w:r>
    </w:p>
    <w:p>
      <w:pPr>
        <w:pStyle w:val="Compact"/>
        <w:numPr>
          <w:ilvl w:val="1"/>
          <w:numId w:val="1007"/>
        </w:numPr>
      </w:pPr>
      <w:r>
        <w:t xml:space="preserve">The specific provisions of Law 122/2025/QH15 and Decree 356/2025/NĐ-CP</w:t>
      </w:r>
    </w:p>
    <w:p>
      <w:pPr>
        <w:numPr>
          <w:ilvl w:val="0"/>
          <w:numId w:val="1000"/>
        </w:numPr>
      </w:pPr>
      <w:r>
        <w:rPr>
          <w:b/>
          <w:bCs/>
        </w:rPr>
        <w:t xml:space="preserve">Under this channel’s editorial rule an unverified figure is left out</w:t>
      </w:r>
      <w:r>
        <w:t xml:space="preserve"> </w:t>
      </w:r>
      <w:r>
        <w:t xml:space="preserve">rather than filled</w:t>
      </w:r>
      <w:r>
        <w:t xml:space="preserve"> </w:t>
      </w:r>
      <w:r>
        <w:t xml:space="preserve">in with a plausible-looking number. Verify against the primary source before relying on any</w:t>
      </w:r>
      <w:r>
        <w:t xml:space="preserve"> </w:t>
      </w:r>
      <w:r>
        <w:t xml:space="preserve">of the above.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Several points here will date.</w:t>
      </w:r>
      <w:r>
        <w:t xml:space="preserve"> </w:t>
      </w:r>
      <w:r>
        <w:t xml:space="preserve">Two statutes take effect during 2026, in January and</w:t>
      </w:r>
      <w:r>
        <w:t xml:space="preserve"> </w:t>
      </w:r>
      <w:r>
        <w:t xml:space="preserve">July, and implementing instruments are still being issued.</w:t>
      </w:r>
      <w:r>
        <w:t xml:space="preserve"> </w:t>
      </w:r>
      <w:r>
        <w:rPr>
          <w:b/>
          <w:bCs/>
        </w:rPr>
        <w:t xml:space="preserve">This document is on the quarterly review list.</w:t>
      </w:r>
    </w:p>
    <w:p>
      <w:pPr>
        <w:numPr>
          <w:ilvl w:val="0"/>
          <w:numId w:val="1006"/>
        </w:numPr>
      </w:pPr>
      <w:r>
        <w:rPr>
          <w:b/>
          <w:bCs/>
        </w:rPr>
        <w:t xml:space="preserve">This note contains no information relating to any particular company.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Channels in Vietnam and the 2026 Advertising Compliance Rules</dc:title>
  <dc:creator/>
  <dc:language>en</dc:language>
  <cp:keywords/>
  <dcterms:created xsi:type="dcterms:W3CDTF">2026-10-31T05:14:35Z</dcterms:created>
  <dcterms:modified xsi:type="dcterms:W3CDTF">2026-10-31T05:14:35Z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