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Các kênh marketing chính tại Việt Nam và điểm tuân thủ quảng cáo năm 2026</w:t>
      </w:r>
    </w:p>
    <w:bookmarkStart w:id="21" w:name="X6a6bbbf060df9d5c661e12c99ce85b4cdf26c18"/>
    <w:p>
      <w:pPr>
        <w:pStyle w:val="Heading1"/>
      </w:pPr>
      <w:r>
        <w:t xml:space="preserve">Các kênh marketing chính tại Việt Nam và điểm tuân thủ quảng cáo năm 2026</w:t>
      </w:r>
    </w:p>
    <w:p>
      <w:pPr>
        <w:pStyle w:val="FirstParagraph"/>
      </w:pPr>
      <w:r>
        <w:rPr>
          <w:b/>
          <w:bCs/>
        </w:rPr>
        <w:t xml:space="preserve">Bản 2026</w:t>
      </w:r>
    </w:p>
    <w:p>
      <w:pPr>
        <w:pStyle w:val="BodyText"/>
      </w:pPr>
      <w:r>
        <w:rPr>
          <w:b/>
          <w:bCs/>
        </w:rPr>
        <w:t xml:space="preserve">Ngày rà soát quy định pháp luật: 18/09/2026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/>
          <w:bCs/>
        </w:rPr>
        <w:t xml:space="preserve">Vì sao cần tài liệu này.</w:t>
      </w:r>
      <w:r>
        <w:t xml:space="preserve"> </w:t>
      </w:r>
      <w:r>
        <w:t xml:space="preserve">Trong 30 tháng từ 2024 đến 2026, hoạt động</w:t>
      </w:r>
      <w:r>
        <w:t xml:space="preserve"> </w:t>
      </w:r>
      <w:r>
        <w:t xml:space="preserve">“bán hàng trên mạng”</w:t>
      </w:r>
      <w:r>
        <w:t xml:space="preserve"> </w:t>
      </w:r>
      <w:r>
        <w:t xml:space="preserve">tại Việt Nam chuyển từ chỗ gần như không có luật chuyên ngành sang trạng thái</w:t>
      </w:r>
      <w:r>
        <w:t xml:space="preserve"> </w:t>
      </w:r>
      <w:r>
        <w:rPr>
          <w:b/>
          <w:bCs/>
        </w:rPr>
        <w:t xml:space="preserve">bốn đạo luật cùng có hiệu lực</w:t>
      </w:r>
      <w:r>
        <w:t xml:space="preserve">: Luật Quảng cáo sửa đổi, Luật Bảo vệ dữ liệu cá nhân,</w:t>
      </w:r>
      <w:r>
        <w:t xml:space="preserve"> </w:t>
      </w:r>
      <w:r>
        <w:t xml:space="preserve">Luật Thương mại điện tử, cùng một nghị định riêng về quản lý mạng xã hội.</w:t>
      </w:r>
    </w:p>
    <w:p>
      <w:pPr>
        <w:pStyle w:val="BlockText"/>
      </w:pPr>
      <w:r>
        <w:t xml:space="preserve">Điểm dễ bỏ sót nhất:</w:t>
      </w:r>
      <w:r>
        <w:t xml:space="preserve"> </w:t>
      </w:r>
      <w:r>
        <w:rPr>
          <w:b/>
          <w:bCs/>
        </w:rPr>
        <w:t xml:space="preserve">từ 01/01/2026, KOL / KOC lần đầu tiên được đưa vào luật Việt Nam</w:t>
      </w:r>
      <w:r>
        <w:t xml:space="preserve">,</w:t>
      </w:r>
      <w:r>
        <w:t xml:space="preserve"> </w:t>
      </w:r>
      <w:r>
        <w:t xml:space="preserve">có nghĩa vụ và trách nhiệm pháp lý riêng, không còn chỉ là</w:t>
      </w:r>
      <w:r>
        <w:t xml:space="preserve"> </w:t>
      </w:r>
      <w:r>
        <w:t xml:space="preserve">“người nhận tiền rồi đăng bài”</w:t>
      </w:r>
      <w:r>
        <w:t xml:space="preserve">.</w:t>
      </w:r>
    </w:p>
    <w:p>
      <w:pPr>
        <w:pStyle w:val="BlockText"/>
      </w:pPr>
      <w:r>
        <w:t xml:space="preserve">Phần lớn tài liệu hướng dẫn marketing Việt Nam đang lưu hành vẫn viết theo</w:t>
      </w:r>
      <w:r>
        <w:t xml:space="preserve"> </w:t>
      </w:r>
      <w:r>
        <w:rPr>
          <w:b/>
          <w:bCs/>
        </w:rPr>
        <w:t xml:space="preserve">Luật Quảng cáo 2012</w:t>
      </w:r>
      <w:r>
        <w:t xml:space="preserve">. Làm theo các tài liệu đó, bạn sẽ bỏ sót toàn bộ Mục II dưới đây.</w:t>
      </w:r>
    </w:p>
    <w:p>
      <w:r>
        <w:pict>
          <v:rect style="width:0;height:1.5pt" o:hralign="center" o:hrstd="t" o:hr="t"/>
        </w:pict>
      </w:r>
    </w:p>
    <w:bookmarkStart w:id="9" w:name="i.-bốn-mốc-hiệu-lực-chi-phối-năm-2026"/>
    <w:p>
      <w:pPr>
        <w:pStyle w:val="Heading2"/>
      </w:pPr>
      <w:r>
        <w:t xml:space="preserve">I. Bốn mốc hiệu lực chi phối năm 2026</w:t>
      </w:r>
    </w:p>
    <w:p>
      <w:pPr>
        <w:pStyle w:val="FirstParagraph"/>
      </w:pPr>
      <w:r>
        <w:t xml:space="preserve">Sắp theo ngày hiệu lực.</w:t>
      </w:r>
      <w:r>
        <w:t xml:space="preserve"> </w:t>
      </w:r>
      <w:r>
        <w:rPr>
          <w:b/>
          <w:bCs/>
        </w:rPr>
        <w:t xml:space="preserve">Cột này là căn cứ duy nhất để xác định hôm nay bạn đang chịu bộ quy tắc nào.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Hiệu lực</w:t>
            </w:r>
          </w:p>
        </w:tc>
        <w:tc>
          <w:tcPr/>
          <w:p>
            <w:pPr>
              <w:pStyle w:val="Compact"/>
            </w:pPr>
            <w:r>
              <w:t xml:space="preserve">Thay đổi</w:t>
            </w:r>
          </w:p>
        </w:tc>
        <w:tc>
          <w:tcPr/>
          <w:p>
            <w:pPr>
              <w:pStyle w:val="Compact"/>
            </w:pPr>
            <w:r>
              <w:t xml:space="preserve">Căn cứ</w:t>
            </w:r>
          </w:p>
        </w:tc>
      </w:tr>
      <w:tr>
        <w:tc>
          <w:tcPr/>
          <w:p>
            <w:pPr>
              <w:pStyle w:val="Compact"/>
            </w:pPr>
            <w:r>
              <w:t xml:space="preserve">01/7/2024</w:t>
            </w:r>
          </w:p>
        </w:tc>
        <w:tc>
          <w:tcPr/>
          <w:p>
            <w:pPr>
              <w:pStyle w:val="Compact"/>
            </w:pPr>
            <w:r>
              <w:t xml:space="preserve">Luật bảo vệ người tiêu dùng thế hệ mới;</w:t>
            </w:r>
            <w:r>
              <w:t xml:space="preserve"> </w:t>
            </w:r>
            <w:r>
              <w:rPr>
                <w:b/>
                <w:bCs/>
              </w:rPr>
              <w:t xml:space="preserve">cấm rõ việc dùng người có ảnh hưởng quảng bá mà không công bố tài trợ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19/2023/QH15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25/12/2024</w:t>
            </w:r>
          </w:p>
        </w:tc>
        <w:tc>
          <w:tcPr/>
          <w:p>
            <w:pPr>
              <w:pStyle w:val="Compact"/>
            </w:pPr>
            <w:r>
              <w:t xml:space="preserve">Tài khoản mạng xã hội phải xác thực;</w:t>
            </w:r>
            <w:r>
              <w:t xml:space="preserve"> </w:t>
            </w:r>
            <w:r>
              <w:rPr>
                <w:b/>
                <w:bCs/>
              </w:rPr>
              <w:t xml:space="preserve">tài khoản chưa xác thực không được đăng bài, livestream, bình luận, chia sẻ</w:t>
            </w:r>
          </w:p>
        </w:tc>
        <w:tc>
          <w:tcPr/>
          <w:p>
            <w:pPr>
              <w:pStyle w:val="Compact"/>
            </w:pPr>
            <w:r>
              <w:t xml:space="preserve">Nghị định</w:t>
            </w:r>
            <w:r>
              <w:t xml:space="preserve"> </w:t>
            </w:r>
            <w:r>
              <w:rPr>
                <w:b/>
                <w:bCs/>
              </w:rPr>
              <w:t xml:space="preserve">147/2024/NĐ-CP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01/01/2026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Luật Quảng cáo sửa đổi có hiệu lực</w:t>
            </w:r>
            <w:r>
              <w:t xml:space="preserve">; bổ sung vai trò pháp lý</w:t>
            </w:r>
            <w:r>
              <w:t xml:space="preserve"> </w:t>
            </w:r>
            <w:r>
              <w:t xml:space="preserve">“người chuyển tải sản phẩm quảng cáo”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75/2025/QH15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01/01/2026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Luật Bảo vệ dữ liệu cá nhân có hiệu lực</w:t>
            </w:r>
            <w:r>
              <w:t xml:space="preserve">, thay cho quy định ở cấp nghị định trước đây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91/2025/QH15</w:t>
            </w:r>
            <w:r>
              <w:t xml:space="preserve"> </w:t>
            </w:r>
            <w:r>
              <w:t xml:space="preserve">· Nghị định</w:t>
            </w:r>
            <w:r>
              <w:t xml:space="preserve"> </w:t>
            </w:r>
            <w:r>
              <w:rPr>
                <w:b/>
                <w:bCs/>
              </w:rPr>
              <w:t xml:space="preserve">356/2025/NĐ-CP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01/01/2026</w:t>
            </w:r>
          </w:p>
        </w:tc>
        <w:tc>
          <w:tcPr/>
          <w:p>
            <w:pPr>
              <w:pStyle w:val="Compact"/>
            </w:pPr>
            <w:r>
              <w:t xml:space="preserve">Luật Thuế tiêu thụ đặc biệt mới (ảnh hưởng bài toán kinh tế của marketing đồ uống, rượu bia, thuốc lá)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66/2025/QH15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01/7/2026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Luật Thương mại điện tử có hiệu lực</w:t>
            </w:r>
            <w:r>
              <w:t xml:space="preserve"> </w:t>
            </w:r>
            <w:r>
              <w:t xml:space="preserve">— đạo luật chuyên ngành đầu tiên về TMĐT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122/2025/QH15</w:t>
            </w:r>
          </w:p>
        </w:tc>
      </w:tr>
    </w:tbl>
    <w:p>
      <w:pPr>
        <w:pStyle w:val="BlockText"/>
      </w:pPr>
      <w:r>
        <w:rPr>
          <w:b/>
          <w:bCs/>
        </w:rPr>
        <w:t xml:space="preserve">Lưu ý hai mốc khác nhau.</w:t>
      </w:r>
      <w:r>
        <w:t xml:space="preserve"> </w:t>
      </w:r>
      <w:r>
        <w:t xml:space="preserve">Quy định về quảng cáo và dữ liệu đã áp dụng từ</w:t>
      </w:r>
      <w:r>
        <w:t xml:space="preserve"> </w:t>
      </w:r>
      <w:r>
        <w:rPr>
          <w:b/>
          <w:bCs/>
        </w:rPr>
        <w:t xml:space="preserve">01/01/2026</w:t>
      </w:r>
      <w:r>
        <w:t xml:space="preserve">;</w:t>
      </w:r>
      <w:r>
        <w:t xml:space="preserve"> </w:t>
      </w:r>
      <w:r>
        <w:t xml:space="preserve">Luật TMĐT phải tới</w:t>
      </w:r>
      <w:r>
        <w:t xml:space="preserve"> </w:t>
      </w:r>
      <w:r>
        <w:rPr>
          <w:b/>
          <w:bCs/>
        </w:rPr>
        <w:t xml:space="preserve">01/7/2026</w:t>
      </w:r>
      <w:r>
        <w:t xml:space="preserve">. Hợp đồng khung năm ký giữa hai mốc này nhiều khả năng</w:t>
      </w:r>
      <w:r>
        <w:t xml:space="preserve"> </w:t>
      </w:r>
      <w:r>
        <w:t xml:space="preserve">vắt qua ranh giới thay đổi pháp luật.</w:t>
      </w:r>
    </w:p>
    <w:p>
      <w:r>
        <w:pict>
          <v:rect style="width:0;height:1.5pt" o:hralign="center" o:hrstd="t" o:hr="t"/>
        </w:pict>
      </w:r>
    </w:p>
    <w:bookmarkEnd w:id="9"/>
    <w:bookmarkStart w:id="13" w:name="X3c45b3a23a4ef2e2a11c3bd9ad6ab78996a15ca"/>
    <w:p>
      <w:pPr>
        <w:pStyle w:val="Heading2"/>
      </w:pPr>
      <w:r>
        <w:t xml:space="preserve">II. KOL / KOC: thay đổi lớn nhất của năm 2026</w:t>
      </w:r>
    </w:p>
    <w:bookmarkStart w:id="10" w:name="luật-lần-đầu-đặt-tên-cho-họ"/>
    <w:p>
      <w:pPr>
        <w:pStyle w:val="Heading3"/>
      </w:pPr>
      <w:r>
        <w:t xml:space="preserve">2.1 Luật lần đầu đặt tên cho họ</w:t>
      </w:r>
    </w:p>
    <w:p>
      <w:pPr>
        <w:pStyle w:val="FirstParagraph"/>
      </w:pPr>
      <w:r>
        <w:rPr>
          <w:b/>
          <w:bCs/>
        </w:rPr>
        <w:t xml:space="preserve">Luật 75/2025/QH15</w:t>
      </w:r>
      <w:r>
        <w:t xml:space="preserve"> </w:t>
      </w:r>
      <w:r>
        <w:t xml:space="preserve">(Quốc hội thông qua ngày 16/6/2025, hiệu lực 01/01/2026) là</w:t>
      </w:r>
      <w:r>
        <w:t xml:space="preserve"> </w:t>
      </w:r>
      <w:r>
        <w:rPr>
          <w:b/>
          <w:bCs/>
        </w:rPr>
        <w:t xml:space="preserve">lần sửa đổi thực chất đầu tiên</w:t>
      </w:r>
      <w:r>
        <w:t xml:space="preserve"> </w:t>
      </w:r>
      <w:r>
        <w:t xml:space="preserve">kể từ khi Luật Quảng cáo 2012 được ban hành.</w:t>
      </w:r>
      <w:r>
        <w:t xml:space="preserve"> </w:t>
      </w:r>
      <w:r>
        <w:t xml:space="preserve">Luật bổ sung</w:t>
      </w:r>
      <w:r>
        <w:t xml:space="preserve"> </w:t>
      </w:r>
      <w:r>
        <w:rPr>
          <w:b/>
          <w:bCs/>
        </w:rPr>
        <w:t xml:space="preserve">Điều 15a</w:t>
      </w:r>
      <w:r>
        <w:t xml:space="preserve"> </w:t>
      </w:r>
      <w:r>
        <w:t xml:space="preserve">sau Điều 15, xác lập vai trò pháp lý</w:t>
      </w:r>
      <w:r>
        <w:t xml:space="preserve"> </w:t>
      </w:r>
      <w:r>
        <w:rPr>
          <w:b/>
          <w:bCs/>
        </w:rPr>
        <w:t xml:space="preserve">“người chuyển tải sản phẩm quảng cáo”</w:t>
      </w:r>
      <w:r>
        <w:t xml:space="preserve"> </w:t>
      </w:r>
      <w:r>
        <w:t xml:space="preserve">— người trực tiếp giới thiệu, khuyến nghị,</w:t>
      </w:r>
      <w:r>
        <w:t xml:space="preserve"> </w:t>
      </w:r>
      <w:r>
        <w:t xml:space="preserve">xác nhận sản phẩm, hàng hóa, dịch vụ trên mạng hoặc bằng hình thức trực tiếp nhằm mục đích sinh lợi.</w:t>
      </w:r>
    </w:p>
    <w:p>
      <w:pPr>
        <w:pStyle w:val="BodyText"/>
      </w:pPr>
      <w:r>
        <w:t xml:space="preserve">Khoản 3 Điều 15a nêu rõ thêm:</w:t>
      </w:r>
      <w:r>
        <w:t xml:space="preserve"> </w:t>
      </w:r>
      <w:r>
        <w:rPr>
          <w:b/>
          <w:bCs/>
        </w:rPr>
        <w:t xml:space="preserve">người có ảnh hưởng</w:t>
      </w:r>
      <w:r>
        <w:t xml:space="preserve"> </w:t>
      </w:r>
      <w:r>
        <w:t xml:space="preserve">là cá nhân theo quy định của pháp luật</w:t>
      </w:r>
      <w:r>
        <w:t xml:space="preserve"> </w:t>
      </w:r>
      <w:r>
        <w:t xml:space="preserve">bảo vệ quyền lợi người tiêu dùng có thực hiện hoạt động chuyển tải sản phẩm quảng cáo.</w:t>
      </w:r>
    </w:p>
    <w:bookmarkEnd w:id="10"/>
    <w:bookmarkStart w:id="11" w:name="họ-phải-làm-gì"/>
    <w:p>
      <w:pPr>
        <w:pStyle w:val="Heading3"/>
      </w:pPr>
      <w:r>
        <w:t xml:space="preserve">2.2 Họ phải làm gì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Nghĩa vụ</w:t>
            </w:r>
          </w:p>
        </w:tc>
        <w:tc>
          <w:tcPr/>
          <w:p>
            <w:pPr>
              <w:pStyle w:val="Compact"/>
            </w:pPr>
            <w:r>
              <w:t xml:space="preserve">Nội dung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Thông báo trước và trong khi quảng cáo</w:t>
            </w:r>
          </w:p>
        </w:tc>
        <w:tc>
          <w:tcPr/>
          <w:p>
            <w:pPr>
              <w:pStyle w:val="Compact"/>
            </w:pPr>
            <w:r>
              <w:t xml:space="preserve">Tuyên bố đây là nội dung quảng cáo (thực tế thể hiện bằng</w:t>
            </w:r>
            <w:r>
              <w:t xml:space="preserve"> </w:t>
            </w:r>
            <w:r>
              <w:rPr>
                <w:rStyle w:val="VerbatimChar"/>
              </w:rPr>
              <w:t xml:space="preserve">#ads</w:t>
            </w:r>
            <w:r>
              <w:t xml:space="preserve">,</w:t>
            </w:r>
            <w:r>
              <w:t xml:space="preserve"> </w:t>
            </w:r>
            <w:r>
              <w:t xml:space="preserve">“được tài trợ”</w:t>
            </w:r>
            <w:r>
              <w:t xml:space="preserve">…)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Chưa dùng / chưa hiểu rõ thì không giới thiệu</w:t>
            </w:r>
          </w:p>
        </w:tc>
        <w:tc>
          <w:tcPr/>
          <w:p>
            <w:pPr>
              <w:pStyle w:val="Compact"/>
            </w:pPr>
            <w:r>
              <w:t xml:space="preserve">Trường hợp chưa sử dụng hoặc chưa hiểu rõ sản phẩm thì</w:t>
            </w:r>
            <w:r>
              <w:t xml:space="preserve"> </w:t>
            </w:r>
            <w:r>
              <w:rPr>
                <w:b/>
                <w:bCs/>
              </w:rPr>
              <w:t xml:space="preserve">không được giới thiệu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Kiểm chứng bên quảng cáo</w:t>
            </w:r>
          </w:p>
        </w:tc>
        <w:tc>
          <w:tcPr/>
          <w:p>
            <w:pPr>
              <w:pStyle w:val="Compact"/>
            </w:pPr>
            <w:r>
              <w:t xml:space="preserve">Xem xét tài liệu liên quan đến sản phẩm, hàng hóa, dịch vụ và điều kiện quảng cáo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Thực hiện nghĩa vụ thuế</w:t>
            </w:r>
          </w:p>
        </w:tc>
        <w:tc>
          <w:tcPr/>
          <w:p>
            <w:pPr>
              <w:pStyle w:val="Compact"/>
            </w:pPr>
            <w:r>
              <w:t xml:space="preserve">Đối với doanh thu từ dịch vụ quảng cáo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Cung cấp tài liệu khi được yêu cầu</w:t>
            </w:r>
          </w:p>
        </w:tc>
        <w:tc>
          <w:tcPr/>
          <w:p>
            <w:pPr>
              <w:pStyle w:val="Compact"/>
            </w:pPr>
            <w:r>
              <w:t xml:space="preserve">Khi cơ quan nhà nước có thẩm quyền yêu cầu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Chịu trách nhiệm pháp lý</w:t>
            </w:r>
          </w:p>
        </w:tc>
        <w:tc>
          <w:tcPr/>
          <w:p>
            <w:pPr>
              <w:pStyle w:val="Compact"/>
            </w:pPr>
            <w:r>
              <w:t xml:space="preserve">Nếu nội dung quảng cáo sai sự thật hoặc gây nhầm lẫn</w:t>
            </w:r>
          </w:p>
        </w:tc>
      </w:tr>
    </w:tbl>
    <w:p>
      <w:pPr>
        <w:pStyle w:val="BodyText"/>
      </w:pPr>
      <w:r>
        <w:t xml:space="preserve">Người thực hiện quảng cáo trên mạng còn phải tuân thủ nghĩa vụ tại</w:t>
      </w:r>
      <w:r>
        <w:t xml:space="preserve"> </w:t>
      </w:r>
      <w:r>
        <w:rPr>
          <w:b/>
          <w:bCs/>
        </w:rPr>
        <w:t xml:space="preserve">Điều 23</w:t>
      </w:r>
      <w:r>
        <w:t xml:space="preserve"> </w:t>
      </w:r>
      <w:r>
        <w:t xml:space="preserve">của Luật.</w:t>
      </w:r>
    </w:p>
    <w:bookmarkEnd w:id="11"/>
    <w:bookmarkStart w:id="12" w:name="hệ-quả-thực-tế-phía-bên-quảng-cáo"/>
    <w:p>
      <w:pPr>
        <w:pStyle w:val="Heading3"/>
      </w:pPr>
      <w:r>
        <w:t xml:space="preserve">2.3 Hệ quả thực tế phía bên quảng cáo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“Tôi chỉ trả tiền, nội dung do người có ảnh hưởng tự đăng”</w:t>
      </w:r>
      <w:r>
        <w:rPr>
          <w:b/>
          <w:bCs/>
        </w:rPr>
        <w:t xml:space="preserve"> </w:t>
      </w:r>
      <w:r>
        <w:rPr>
          <w:b/>
          <w:bCs/>
        </w:rPr>
        <w:t xml:space="preserve">không còn là lý do biện hộ.</w:t>
      </w:r>
      <w:r>
        <w:t xml:space="preserve"> </w:t>
      </w:r>
      <w:r>
        <w:t xml:space="preserve">Người chuyển tải có nghĩa vụ độc lập, nhưng bên quảng cáo đồng thời có nghĩa vụ cung cấp</w:t>
      </w:r>
      <w:r>
        <w:t xml:space="preserve"> </w:t>
      </w:r>
      <w:r>
        <w:rPr>
          <w:b/>
          <w:bCs/>
        </w:rPr>
        <w:t xml:space="preserve">thông tin trung thực, đầy đủ, chính xác</w:t>
      </w:r>
      <w:r>
        <w:t xml:space="preserve"> </w:t>
      </w:r>
      <w:r>
        <w:t xml:space="preserve">cho người chuyển tải — Điều 15a ghi đây là</w:t>
      </w:r>
      <w:r>
        <w:t xml:space="preserve"> </w:t>
      </w:r>
      <w:r>
        <w:rPr>
          <w:i/>
          <w:iCs/>
        </w:rPr>
        <w:t xml:space="preserve">quyền</w:t>
      </w:r>
      <w:r>
        <w:t xml:space="preserve"> </w:t>
      </w:r>
      <w:r>
        <w:t xml:space="preserve">của người chuyển tải, nhìn từ phía còn lại chính là</w:t>
      </w:r>
      <w:r>
        <w:t xml:space="preserve"> </w:t>
      </w:r>
      <w:r>
        <w:rPr>
          <w:i/>
          <w:iCs/>
        </w:rPr>
        <w:t xml:space="preserve">nghĩa vụ</w:t>
      </w:r>
      <w:r>
        <w:t xml:space="preserve"> </w:t>
      </w:r>
      <w:r>
        <w:t xml:space="preserve">của bên quảng cáo.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Việc không công bố tài trợ đã là hành vi bị cấm từ 01/7/2024, không phải từ 2026.</w:t>
      </w:r>
      <w:r>
        <w:t xml:space="preserve"> </w:t>
      </w:r>
      <w:r>
        <w:t xml:space="preserve">Luật 19/2023/QH15 đã liệt kê trong các hành vi bị cấm: tổ chức vận hành nền tảng số</w:t>
      </w:r>
      <w:r>
        <w:t xml:space="preserve"> </w:t>
      </w:r>
      <w:r>
        <w:t xml:space="preserve">sử dụng người có ảnh hưởng quảng bá sản phẩm mà không công bố quan hệ tài trợ.</w:t>
      </w:r>
      <w:r>
        <w:t xml:space="preserve"> </w:t>
      </w:r>
      <w:r>
        <w:t xml:space="preserve">Luật Quảng cáo 2026 mở rộng lập trường đó, chứ không tạo ra nó.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Đã có khái niệm danh sách vi phạm mang tính pháp lý.</w:t>
      </w:r>
      <w:r>
        <w:t xml:space="preserve"> </w:t>
      </w:r>
      <w:r>
        <w:t xml:space="preserve">Luật mới yêu cầu không hợp tác với</w:t>
      </w:r>
      <w:r>
        <w:t xml:space="preserve"> </w:t>
      </w:r>
      <w:r>
        <w:t xml:space="preserve">tổ chức, cá nhân quảng cáo, trang thông tin điện tử, mạng xã hội, ứng dụng, nền tảng số,</w:t>
      </w:r>
      <w:r>
        <w:t xml:space="preserve"> </w:t>
      </w:r>
      <w:r>
        <w:t xml:space="preserve">tài khoản, kênh nội dung, trang cộng đồng, nhóm cộng đồng</w:t>
      </w:r>
      <w:r>
        <w:t xml:space="preserve"> </w:t>
      </w:r>
      <w:r>
        <w:rPr>
          <w:b/>
          <w:bCs/>
        </w:rPr>
        <w:t xml:space="preserve">đã được cơ quan nhà nước có</w:t>
      </w:r>
      <w:r>
        <w:rPr>
          <w:b/>
          <w:bCs/>
        </w:rPr>
        <w:t xml:space="preserve"> </w:t>
      </w:r>
      <w:r>
        <w:rPr>
          <w:b/>
          <w:bCs/>
        </w:rPr>
        <w:t xml:space="preserve">thẩm quyền công bố là vi phạm pháp luật</w:t>
      </w:r>
      <w:r>
        <w:t xml:space="preserve">.</w:t>
      </w:r>
      <w:r>
        <w:t xml:space="preserve"> </w:t>
      </w:r>
      <w:r>
        <w:rPr>
          <w:b/>
          <w:bCs/>
        </w:rPr>
        <w:t xml:space="preserve">Việc rà soát danh sách trước khi đặt booking</w:t>
      </w:r>
      <w:r>
        <w:rPr>
          <w:b/>
          <w:bCs/>
        </w:rPr>
        <w:t xml:space="preserve"> </w:t>
      </w:r>
      <w:r>
        <w:rPr>
          <w:b/>
          <w:bCs/>
        </w:rPr>
        <w:t xml:space="preserve">chuyển từ</w:t>
      </w:r>
      <w:r>
        <w:rPr>
          <w:b/>
          <w:bCs/>
        </w:rPr>
        <w:t xml:space="preserve"> </w:t>
      </w:r>
      <w:r>
        <w:rPr>
          <w:b/>
          <w:bCs/>
        </w:rPr>
        <w:t xml:space="preserve">“thói quen quản trị rủi ro”</w:t>
      </w:r>
      <w:r>
        <w:rPr>
          <w:b/>
          <w:bCs/>
        </w:rPr>
        <w:t xml:space="preserve"> </w:t>
      </w:r>
      <w:r>
        <w:rPr>
          <w:b/>
          <w:bCs/>
        </w:rPr>
        <w:t xml:space="preserve">thành nghĩa vụ luật định.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4" w:name="Xb3a20f3713da6fa811e671690608bd86f0932b5"/>
    <w:p>
      <w:pPr>
        <w:pStyle w:val="Heading2"/>
      </w:pPr>
      <w:r>
        <w:t xml:space="preserve">III. Mạng xã hội: xác thực tài khoản là điều kiện tiên quyết</w:t>
      </w:r>
    </w:p>
    <w:p>
      <w:pPr>
        <w:pStyle w:val="FirstParagraph"/>
      </w:pPr>
      <w:r>
        <w:rPr>
          <w:b/>
          <w:bCs/>
        </w:rPr>
        <w:t xml:space="preserve">Nghị định 147/2024/NĐ-CP</w:t>
      </w:r>
      <w:r>
        <w:t xml:space="preserve"> </w:t>
      </w:r>
      <w:r>
        <w:t xml:space="preserve">quy định người dùng mạng xã hội phải xác thực tài khoản bằng</w:t>
      </w:r>
      <w:r>
        <w:t xml:space="preserve"> </w:t>
      </w:r>
      <w:r>
        <w:rPr>
          <w:b/>
          <w:bCs/>
        </w:rPr>
        <w:t xml:space="preserve">số điện thoại di động hoặc số định danh cá nhân</w:t>
      </w:r>
      <w:r>
        <w:t xml:space="preserve">.</w:t>
      </w:r>
      <w:r>
        <w:t xml:space="preserve"> </w:t>
      </w:r>
      <w:r>
        <w:rPr>
          <w:b/>
          <w:bCs/>
        </w:rPr>
        <w:t xml:space="preserve">Chỉ tài khoản đã xác thực mới được</w:t>
      </w:r>
      <w:r>
        <w:rPr>
          <w:b/>
          <w:bCs/>
        </w:rPr>
        <w:t xml:space="preserve"> </w:t>
      </w:r>
      <w:r>
        <w:rPr>
          <w:b/>
          <w:bCs/>
        </w:rPr>
        <w:t xml:space="preserve">đăng bài, livestream, bình luận, chia sẻ.</w:t>
      </w:r>
      <w:r>
        <w:t xml:space="preserve"> </w:t>
      </w:r>
      <w:r>
        <w:t xml:space="preserve">Người dùng đã có tài khoản phải hoàn tất xác thực</w:t>
      </w:r>
      <w:r>
        <w:t xml:space="preserve"> </w:t>
      </w:r>
      <w:r>
        <w:t xml:space="preserve">trong</w:t>
      </w:r>
      <w:r>
        <w:t xml:space="preserve"> </w:t>
      </w:r>
      <w:r>
        <w:rPr>
          <w:b/>
          <w:bCs/>
        </w:rPr>
        <w:t xml:space="preserve">90 ngày</w:t>
      </w:r>
      <w:r>
        <w:t xml:space="preserve"> </w:t>
      </w:r>
      <w:r>
        <w:t xml:space="preserve">kể từ khi nghị định có hiệu lực. Người</w:t>
      </w:r>
      <w:r>
        <w:t xml:space="preserve"> </w:t>
      </w:r>
      <w:r>
        <w:rPr>
          <w:b/>
          <w:bCs/>
        </w:rPr>
        <w:t xml:space="preserve">dưới 16 tuổi</w:t>
      </w:r>
      <w:r>
        <w:t xml:space="preserve"> </w:t>
      </w:r>
      <w:r>
        <w:t xml:space="preserve">không được tự mở</w:t>
      </w:r>
      <w:r>
        <w:t xml:space="preserve"> </w:t>
      </w:r>
      <w:r>
        <w:t xml:space="preserve">tài khoản mạng xã hội.</w:t>
      </w:r>
    </w:p>
    <w:p>
      <w:pPr>
        <w:pStyle w:val="BodyText"/>
      </w:pPr>
      <w:r>
        <w:rPr>
          <w:b/>
          <w:bCs/>
        </w:rPr>
        <w:t xml:space="preserve">Ba ảnh hưởng trực tiếp tới marketing: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Xác nhận tài khoản đã xác thực trước khi ký hợp đồng</w:t>
      </w:r>
      <w:r>
        <w:t xml:space="preserve"> </w:t>
      </w:r>
      <w:r>
        <w:t xml:space="preserve">— tài khoản chưa xác thực không</w:t>
      </w:r>
      <w:r>
        <w:t xml:space="preserve"> </w:t>
      </w:r>
      <w:r>
        <w:t xml:space="preserve">đăng được nội dung, lịch booking sẽ hỏng.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Livestream bán hàng chịu ảnh hưởng rõ nhất</w:t>
      </w:r>
      <w:r>
        <w:t xml:space="preserve"> </w:t>
      </w:r>
      <w:r>
        <w:t xml:space="preserve">— livestream là một trong các hành vi được nêu tên.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Chiến lược nội dung hướng tới người trẻ cần rà lại</w:t>
      </w:r>
      <w:r>
        <w:t xml:space="preserve"> </w:t>
      </w:r>
      <w:r>
        <w:t xml:space="preserve">khi có liên quan tới người dưới 16 tuổi.</w:t>
      </w:r>
    </w:p>
    <w:p>
      <w:r>
        <w:pict>
          <v:rect style="width:0;height:1.5pt" o:hralign="center" o:hrstd="t" o:hr="t"/>
        </w:pict>
      </w:r>
    </w:p>
    <w:bookmarkEnd w:id="14"/>
    <w:bookmarkStart w:id="15" w:name="X458735f264eeb05f8bc9bb8958cafdc8b6a1f01"/>
    <w:p>
      <w:pPr>
        <w:pStyle w:val="Heading2"/>
      </w:pPr>
      <w:r>
        <w:t xml:space="preserve">IV. Sàn thương mại điện tử: có luật chuyên ngành từ 01/7/2026</w:t>
      </w:r>
    </w:p>
    <w:p>
      <w:pPr>
        <w:pStyle w:val="FirstParagraph"/>
      </w:pPr>
      <w:r>
        <w:rPr>
          <w:b/>
          <w:bCs/>
        </w:rPr>
        <w:t xml:space="preserve">Luật 122/2025/QH15</w:t>
      </w:r>
      <w:r>
        <w:t xml:space="preserve"> </w:t>
      </w:r>
      <w:r>
        <w:t xml:space="preserve">(Quốc hội thông qua ngày 10/12/2025, hiệu lực</w:t>
      </w:r>
      <w:r>
        <w:t xml:space="preserve"> </w:t>
      </w:r>
      <w:r>
        <w:rPr>
          <w:b/>
          <w:bCs/>
        </w:rPr>
        <w:t xml:space="preserve">01/7/2026</w:t>
      </w:r>
      <w:r>
        <w:t xml:space="preserve">) gồm</w:t>
      </w:r>
      <w:r>
        <w:t xml:space="preserve"> </w:t>
      </w:r>
      <w:r>
        <w:rPr>
          <w:b/>
          <w:bCs/>
        </w:rPr>
        <w:t xml:space="preserve">7 chương, 41 điều</w:t>
      </w:r>
      <w:r>
        <w:t xml:space="preserve">, là</w:t>
      </w:r>
      <w:r>
        <w:t xml:space="preserve"> </w:t>
      </w:r>
      <w:r>
        <w:rPr>
          <w:b/>
          <w:bCs/>
        </w:rPr>
        <w:t xml:space="preserve">đạo luật đầu tiên của Việt Nam điều chỉnh toàn diện hoạt động</w:t>
      </w:r>
      <w:r>
        <w:rPr>
          <w:b/>
          <w:bCs/>
        </w:rPr>
        <w:t xml:space="preserve"> </w:t>
      </w:r>
      <w:r>
        <w:rPr>
          <w:b/>
          <w:bCs/>
        </w:rPr>
        <w:t xml:space="preserve">thương mại điện tử</w:t>
      </w:r>
      <w:r>
        <w:t xml:space="preserve">. Trước đó, TMĐT chỉ được điều chỉnh bằng quy định cấp nghị định</w:t>
      </w:r>
      <w:r>
        <w:t xml:space="preserve"> </w:t>
      </w:r>
      <w:r>
        <w:t xml:space="preserve">ghép với pháp luật thương mại chung.</w:t>
      </w:r>
    </w:p>
    <w:p>
      <w:pPr>
        <w:pStyle w:val="BlockText"/>
      </w:pPr>
      <w:r>
        <w:rPr>
          <w:b/>
          <w:bCs/>
        </w:rPr>
        <w:t xml:space="preserve">Lưu ý thực hành.</w:t>
      </w:r>
      <w:r>
        <w:t xml:space="preserve"> </w:t>
      </w:r>
      <w:r>
        <w:t xml:space="preserve">Quy tắc phía nền tảng sẽ thay đổi có hệ thống trong năm nay.</w:t>
      </w:r>
      <w:r>
        <w:t xml:space="preserve"> </w:t>
      </w:r>
      <w:r>
        <w:rPr>
          <w:b/>
          <w:bCs/>
        </w:rPr>
        <w:t xml:space="preserve">Với hợp đồng hợp tác nền tảng vắt qua mốc 01/7/2026, nên bổ sung điều khoản thay đổi</w:t>
      </w:r>
      <w:r>
        <w:rPr>
          <w:b/>
          <w:bCs/>
        </w:rPr>
        <w:t xml:space="preserve"> </w:t>
      </w:r>
      <w:r>
        <w:rPr>
          <w:b/>
          <w:bCs/>
        </w:rPr>
        <w:t xml:space="preserve">pháp luật</w:t>
      </w:r>
      <w:r>
        <w:t xml:space="preserve">, quy định cơ chế điều chỉnh khi quy tắc thay đổi, thay vì bị động tiếp nhận</w:t>
      </w:r>
      <w:r>
        <w:t xml:space="preserve"> </w:t>
      </w:r>
      <w:r>
        <w:t xml:space="preserve">việc nền tảng đơn phương đổi chính sách.</w:t>
      </w:r>
    </w:p>
    <w:p>
      <w:pPr>
        <w:pStyle w:val="FirstParagraph"/>
      </w:pPr>
      <w:r>
        <w:rPr>
          <w:b/>
          <w:bCs/>
        </w:rPr>
        <w:t xml:space="preserve">Bản này không viết nội dung điều khoản cụ thể của Luật TMĐT</w:t>
      </w:r>
      <w:r>
        <w:t xml:space="preserve"> </w:t>
      </w:r>
      <w:r>
        <w:t xml:space="preserve">— tính đến ngày rà soát,</w:t>
      </w:r>
      <w:r>
        <w:t xml:space="preserve"> </w:t>
      </w:r>
      <w:r>
        <w:t xml:space="preserve">các văn bản hướng dẫn chưa được đối chiếu tới văn bản gốc; theo nguyên tắc biên tập của</w:t>
      </w:r>
      <w:r>
        <w:t xml:space="preserve"> </w:t>
      </w:r>
      <w:r>
        <w:t xml:space="preserve">chuyên mục, nội dung chưa kiểm chứng thì không viết.</w:t>
      </w:r>
    </w:p>
    <w:p>
      <w:r>
        <w:pict>
          <v:rect style="width:0;height:1.5pt" o:hralign="center" o:hrstd="t" o:hr="t"/>
        </w:pict>
      </w:r>
    </w:p>
    <w:bookmarkEnd w:id="15"/>
    <w:bookmarkStart w:id="16" w:name="X3aa7a6eb9f49cffefcdac84e3506a9d29187e04"/>
    <w:p>
      <w:pPr>
        <w:pStyle w:val="Heading2"/>
      </w:pPr>
      <w:r>
        <w:t xml:space="preserve">V. Marketing dựa trên dữ liệu: đổi luật điều chỉnh từ 01/01/2026</w:t>
      </w:r>
    </w:p>
    <w:p>
      <w:pPr>
        <w:pStyle w:val="FirstParagraph"/>
      </w:pPr>
      <w:r>
        <w:rPr>
          <w:b/>
          <w:bCs/>
        </w:rPr>
        <w:t xml:space="preserve">Luật 91/2025/QH15</w:t>
      </w:r>
      <w:r>
        <w:t xml:space="preserve"> </w:t>
      </w:r>
      <w:r>
        <w:t xml:space="preserve">(Bảo vệ dữ liệu cá nhân) có hiệu lực từ</w:t>
      </w:r>
      <w:r>
        <w:t xml:space="preserve"> </w:t>
      </w:r>
      <w:r>
        <w:rPr>
          <w:b/>
          <w:bCs/>
        </w:rPr>
        <w:t xml:space="preserve">01/01/2026</w:t>
      </w:r>
      <w:r>
        <w:t xml:space="preserve">, kèm</w:t>
      </w:r>
      <w:r>
        <w:t xml:space="preserve"> </w:t>
      </w:r>
      <w:r>
        <w:rPr>
          <w:b/>
          <w:bCs/>
        </w:rPr>
        <w:t xml:space="preserve">Nghị định 356/2025/NĐ-CP</w:t>
      </w:r>
      <w:r>
        <w:t xml:space="preserve">. Luật xác lập rõ các quyền dữ liệu cơ bản của công dân, gồm</w:t>
      </w:r>
      <w:r>
        <w:t xml:space="preserve"> </w:t>
      </w:r>
      <w:r>
        <w:rPr>
          <w:b/>
          <w:bCs/>
        </w:rPr>
        <w:t xml:space="preserve">quyền được biết, quyền đồng ý, quyền truy cập, quyền chỉnh sửa và quyền yêu cầu xóa dữ liệu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Phạm vi áp dụng đáng để doanh nghiệp FDI đặc biệt lưu ý</w:t>
      </w:r>
      <w:r>
        <w:t xml:space="preserve">: Luật áp dụng cho mọi tổ chức,</w:t>
      </w:r>
      <w:r>
        <w:t xml:space="preserve"> </w:t>
      </w:r>
      <w:r>
        <w:t xml:space="preserve">cá nhân thực hiện hoạt động xử lý dữ liệu cá nhân tại Việt Nam,</w:t>
      </w:r>
      <w:r>
        <w:t xml:space="preserve"> </w:t>
      </w:r>
      <w:r>
        <w:rPr>
          <w:b/>
          <w:bCs/>
        </w:rPr>
        <w:t xml:space="preserve">và cả tổ chức nước ngoài</w:t>
      </w:r>
      <w:r>
        <w:rPr>
          <w:b/>
          <w:bCs/>
        </w:rPr>
        <w:t xml:space="preserve"> </w:t>
      </w:r>
      <w:r>
        <w:rPr>
          <w:b/>
          <w:bCs/>
        </w:rPr>
        <w:t xml:space="preserve">trực tiếp tham gia hoặc liên quan đến hoạt động xử lý dữ liệu cá nhân của công dân Việt Nam</w:t>
      </w:r>
      <w:r>
        <w:t xml:space="preserve">.</w:t>
      </w:r>
      <w:r>
        <w:t xml:space="preserve"> </w:t>
      </w:r>
      <w:r>
        <w:t xml:space="preserve">Nói cách khác,</w:t>
      </w:r>
      <w:r>
        <w:t xml:space="preserve"> </w:t>
      </w:r>
      <w:r>
        <w:rPr>
          <w:b/>
          <w:bCs/>
        </w:rPr>
        <w:t xml:space="preserve">đặt máy chủ ở nước ngoài không phải là căn cứ miễn trừ.</w:t>
      </w:r>
    </w:p>
    <w:p>
      <w:pPr>
        <w:pStyle w:val="BodyText"/>
      </w:pPr>
      <w:r>
        <w:t xml:space="preserve">Với hoạt động marketing, phạm vi này bao trùm cơ sở dữ liệu thành viên, danh sách EDM,</w:t>
      </w:r>
      <w:r>
        <w:t xml:space="preserve"> </w:t>
      </w:r>
      <w:r>
        <w:t xml:space="preserve">tệp đối tượng tiếp thị lại, tích hợp CRM và dữ liệu mua từ bên thứ ba.</w:t>
      </w:r>
    </w:p>
    <w:p>
      <w:pPr>
        <w:pStyle w:val="BodyText"/>
      </w:pPr>
      <w:r>
        <w:rPr>
          <w:b/>
          <w:bCs/>
        </w:rPr>
        <w:t xml:space="preserve">Bản này không cung cấp mẫu văn bản đồng ý và quy trình phê duyệt chuyển dữ liệu xuyên biên giới</w:t>
      </w:r>
      <w:r>
        <w:t xml:space="preserve"> </w:t>
      </w:r>
      <w:r>
        <w:t xml:space="preserve">—</w:t>
      </w:r>
      <w:r>
        <w:t xml:space="preserve"> </w:t>
      </w:r>
      <w:r>
        <w:t xml:space="preserve">việc đó cần đối chiếu văn bản gốc Nghị định 356/2025/NĐ-CP và biểu mẫu của cơ quan quản lý,</w:t>
      </w:r>
      <w:r>
        <w:t xml:space="preserve"> </w:t>
      </w:r>
      <w:r>
        <w:t xml:space="preserve">hiện chưa hoàn tất.</w:t>
      </w:r>
    </w:p>
    <w:p>
      <w:r>
        <w:pict>
          <v:rect style="width:0;height:1.5pt" o:hralign="center" o:hrstd="t" o:hr="t"/>
        </w:pict>
      </w:r>
    </w:p>
    <w:bookmarkEnd w:id="16"/>
    <w:bookmarkStart w:id="17" w:name="Xb0b3e91f4868600e0b72f356090f9f386b0a146"/>
    <w:p>
      <w:pPr>
        <w:pStyle w:val="Heading2"/>
      </w:pPr>
      <w:r>
        <w:t xml:space="preserve">VI. Lằn ranh theo ngành hàng: có ngành câu hỏi không phải</w:t>
      </w:r>
      <w:r>
        <w:t xml:space="preserve"> </w:t>
      </w:r>
      <w:r>
        <w:t xml:space="preserve">“quảng cáo thế nào”</w:t>
      </w:r>
      <w:r>
        <w:t xml:space="preserve"> </w:t>
      </w:r>
      <w:r>
        <w:t xml:space="preserve">mà</w:t>
      </w:r>
      <w:r>
        <w:t xml:space="preserve"> </w:t>
      </w:r>
      <w:r>
        <w:t xml:space="preserve">“có được quảng cáo không”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Ngành hàng</w:t>
            </w:r>
          </w:p>
        </w:tc>
        <w:tc>
          <w:tcPr/>
          <w:p>
            <w:pPr>
              <w:pStyle w:val="Compact"/>
            </w:pPr>
            <w:r>
              <w:t xml:space="preserve">Hạn chế</w:t>
            </w:r>
          </w:p>
        </w:tc>
        <w:tc>
          <w:tcPr/>
          <w:p>
            <w:pPr>
              <w:pStyle w:val="Compact"/>
            </w:pPr>
            <w:r>
              <w:t xml:space="preserve">Căn cứ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Rượu từ 15 độ cồn trở lên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Cấm quảng cáo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44/2019/QH14</w:t>
            </w:r>
            <w:r>
              <w:t xml:space="preserve">, khoản 7 Điều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Rượu từ 5,5 đến dưới 15 độ; bia từ 5,5 độ trở lên</w:t>
            </w:r>
          </w:p>
        </w:tc>
        <w:tc>
          <w:tcPr/>
          <w:p>
            <w:pPr>
              <w:pStyle w:val="Compact"/>
            </w:pPr>
            <w:r>
              <w:t xml:space="preserve">Bị hạn chế: không quảng cáo trong chương trình văn hóa, sân khấu, điện ảnh, hoạt động thể thao; không dùng phương tiện quảng cáo ngoài trời (trừ biển hiệu cơ sở kinh doanh rượu, bia)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44/2019/QH14</w:t>
            </w:r>
            <w:r>
              <w:t xml:space="preserve">, Điều 12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Thuốc lá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Cấm quảng cáo và khuyến mại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09/2012/QH13</w:t>
            </w:r>
            <w:r>
              <w:t xml:space="preserve">, khoản 2 Điều 9</w:t>
            </w:r>
          </w:p>
        </w:tc>
      </w:tr>
      <w:tr>
        <w:tc>
          <w:tcPr/>
          <w:p>
            <w:pPr>
              <w:pStyle w:val="Compact"/>
            </w:pPr>
            <w:r>
              <w:t xml:space="preserve">Nước giải khát có đường</w:t>
            </w:r>
          </w:p>
        </w:tc>
        <w:tc>
          <w:tcPr/>
          <w:p>
            <w:pPr>
              <w:pStyle w:val="Compact"/>
            </w:pPr>
            <w:r>
              <w:t xml:space="preserve">Không cấm quảng cáo, nhưng</w:t>
            </w:r>
            <w:r>
              <w:t xml:space="preserve"> </w:t>
            </w:r>
            <w:r>
              <w:rPr>
                <w:b/>
                <w:bCs/>
              </w:rPr>
              <w:t xml:space="preserve">gánh nặng thuế sẽ tăng</w:t>
            </w:r>
            <w:r>
              <w:t xml:space="preserve">: sản phẩm theo TCVN có hàm lượng đường trên 5g/100mL chịu thuế TTĐB</w:t>
            </w:r>
            <w:r>
              <w:t xml:space="preserve"> </w:t>
            </w:r>
            <w:r>
              <w:rPr>
                <w:b/>
                <w:bCs/>
              </w:rPr>
              <w:t xml:space="preserve">8% từ 01/01/2027</w:t>
            </w:r>
            <w:r>
              <w:t xml:space="preserve"> </w:t>
            </w:r>
            <w:r>
              <w:t xml:space="preserve">và</w:t>
            </w:r>
            <w:r>
              <w:t xml:space="preserve"> </w:t>
            </w:r>
            <w:r>
              <w:rPr>
                <w:b/>
                <w:bCs/>
              </w:rPr>
              <w:t xml:space="preserve">10% từ 01/01/2028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66/2025/QH15</w:t>
            </w:r>
          </w:p>
        </w:tc>
      </w:tr>
    </w:tbl>
    <w:p>
      <w:pPr>
        <w:pStyle w:val="BlockText"/>
      </w:pPr>
      <w:r>
        <w:rPr>
          <w:b/>
          <w:bCs/>
        </w:rPr>
        <w:t xml:space="preserve">Dòng cuối không phải hạn chế quảng cáo, mà là bài toán kinh tế của marketing.</w:t>
      </w:r>
      <w:r>
        <w:t xml:space="preserve"> </w:t>
      </w:r>
      <w:r>
        <w:t xml:space="preserve">Hai lần tăng vào 2027 và 2028 nghĩa là</w:t>
      </w:r>
      <w:r>
        <w:t xml:space="preserve"> </w:t>
      </w:r>
      <w:r>
        <w:rPr>
          <w:b/>
          <w:bCs/>
        </w:rPr>
        <w:t xml:space="preserve">bảng giá và ngân sách khuyến mại năm 2027 đang</w:t>
      </w:r>
      <w:r>
        <w:rPr>
          <w:b/>
          <w:bCs/>
        </w:rPr>
        <w:t xml:space="preserve"> </w:t>
      </w:r>
      <w:r>
        <w:rPr>
          <w:b/>
          <w:bCs/>
        </w:rPr>
        <w:t xml:space="preserve">được hoạch định hôm nay</w:t>
      </w:r>
      <w:r>
        <w:t xml:space="preserve"> </w:t>
      </w:r>
      <w:r>
        <w:t xml:space="preserve">đã phải tính tới chúng. Điều chỉnh công thức xuống dưới ngưỡng</w:t>
      </w:r>
      <w:r>
        <w:t xml:space="preserve"> </w:t>
      </w:r>
      <w:r>
        <w:t xml:space="preserve">5g/100mL là một quyết định sản phẩm, thời gian chuẩn bị thường tính bằng năm.</w:t>
      </w:r>
    </w:p>
    <w:p>
      <w:r>
        <w:pict>
          <v:rect style="width:0;height:1.5pt" o:hralign="center" o:hrstd="t" o:hr="t"/>
        </w:pict>
      </w:r>
    </w:p>
    <w:bookmarkEnd w:id="17"/>
    <w:bookmarkStart w:id="18" w:name="vii.-danh-mục-việc-cần-làm"/>
    <w:p>
      <w:pPr>
        <w:pStyle w:val="Heading2"/>
      </w:pPr>
      <w:r>
        <w:t xml:space="preserve">VII. Danh mục việc cần làm</w:t>
      </w:r>
    </w:p>
    <w:p>
      <w:pPr>
        <w:pStyle w:val="FirstParagraph"/>
      </w:pPr>
      <w:r>
        <w:rPr>
          <w:b/>
          <w:bCs/>
        </w:rPr>
        <w:t xml:space="preserve">Trước khi đặt booking:</w:t>
      </w:r>
    </w:p>
    <w:p>
      <w:pPr>
        <w:pStyle w:val="Compact"/>
        <w:numPr>
          <w:ilvl w:val="0"/>
          <w:numId w:val="1003"/>
        </w:numPr>
      </w:pPr>
      <w:r>
        <w:t xml:space="preserve">Xác nhận tài khoản / nền tảng không nằm trong danh sách vi phạm do cơ quan có thẩm quyền công bố</w:t>
      </w:r>
      <w:r>
        <w:t xml:space="preserve"> </w:t>
      </w:r>
      <w:r>
        <w:t xml:space="preserve">(nghĩa vụ luật định, không phải lựa chọn quản trị rủi ro)</w:t>
      </w:r>
    </w:p>
    <w:p>
      <w:pPr>
        <w:pStyle w:val="Compact"/>
        <w:numPr>
          <w:ilvl w:val="0"/>
          <w:numId w:val="1003"/>
        </w:numPr>
      </w:pPr>
      <w:r>
        <w:t xml:space="preserve">Xác nhận tài khoản KOL / KOC đã xác thực theo Nghị định 147/2024/NĐ-CP</w:t>
      </w:r>
    </w:p>
    <w:p>
      <w:pPr>
        <w:pStyle w:val="Compact"/>
        <w:numPr>
          <w:ilvl w:val="0"/>
          <w:numId w:val="1003"/>
        </w:numPr>
      </w:pPr>
      <w:r>
        <w:t xml:space="preserve">Chuẩn bị đủ hồ sơ tuân thủ của sản phẩm, dịch vụ và</w:t>
      </w:r>
      <w:r>
        <w:t xml:space="preserve"> </w:t>
      </w:r>
      <w:r>
        <w:rPr>
          <w:b/>
          <w:bCs/>
        </w:rPr>
        <w:t xml:space="preserve">thực sự bàn giao cho người chuyển tải</w:t>
      </w:r>
      <w:r>
        <w:t xml:space="preserve"> </w:t>
      </w:r>
      <w:r>
        <w:t xml:space="preserve">(đây là nghĩa vụ của bên quảng cáo)</w:t>
      </w:r>
    </w:p>
    <w:p>
      <w:pPr>
        <w:pStyle w:val="Compact"/>
        <w:numPr>
          <w:ilvl w:val="0"/>
          <w:numId w:val="1003"/>
        </w:numPr>
      </w:pPr>
      <w:r>
        <w:t xml:space="preserve">Đối chiếu lằn ranh ngành hàng tại Mục VI</w:t>
      </w:r>
    </w:p>
    <w:p>
      <w:pPr>
        <w:pStyle w:val="FirstParagraph"/>
      </w:pPr>
      <w:r>
        <w:rPr>
          <w:b/>
          <w:bCs/>
        </w:rPr>
        <w:t xml:space="preserve">Điều khoản hợp đồng:</w:t>
      </w:r>
    </w:p>
    <w:p>
      <w:pPr>
        <w:pStyle w:val="Compact"/>
        <w:numPr>
          <w:ilvl w:val="0"/>
          <w:numId w:val="1004"/>
        </w:numPr>
      </w:pPr>
      <w:r>
        <w:t xml:space="preserve">Quy định rõ ai thực hiện dấu hiệu nhận biết quảng cáo (</w:t>
      </w:r>
      <w:r>
        <w:rPr>
          <w:rStyle w:val="VerbatimChar"/>
        </w:rPr>
        <w:t xml:space="preserve">#ads</w:t>
      </w:r>
      <w:r>
        <w:t xml:space="preserve"> </w:t>
      </w:r>
      <w:r>
        <w:t xml:space="preserve">/ tuyên bố tài trợ) và thể hiện thế nào</w:t>
      </w:r>
    </w:p>
    <w:p>
      <w:pPr>
        <w:pStyle w:val="Compact"/>
        <w:numPr>
          <w:ilvl w:val="0"/>
          <w:numId w:val="1004"/>
        </w:numPr>
      </w:pPr>
      <w:r>
        <w:t xml:space="preserve">Quy định người chuyển tải chỉ được giới thiệu sau khi đã sử dụng hoặc hiểu rõ sản phẩm</w:t>
      </w:r>
    </w:p>
    <w:p>
      <w:pPr>
        <w:pStyle w:val="Compact"/>
        <w:numPr>
          <w:ilvl w:val="0"/>
          <w:numId w:val="1004"/>
        </w:numPr>
      </w:pPr>
      <w:r>
        <w:t xml:space="preserve">Điều khoản phân định nghĩa vụ thuế</w:t>
      </w:r>
    </w:p>
    <w:p>
      <w:pPr>
        <w:pStyle w:val="Compact"/>
        <w:numPr>
          <w:ilvl w:val="0"/>
          <w:numId w:val="1004"/>
        </w:numPr>
      </w:pPr>
      <w:r>
        <w:t xml:space="preserve">Bổ sung cơ chế điều chỉnh khi pháp luật thay đổi với hợp đồng vắt qua 01/7/2026</w:t>
      </w:r>
    </w:p>
    <w:p>
      <w:pPr>
        <w:pStyle w:val="FirstParagraph"/>
      </w:pPr>
      <w:r>
        <w:rPr>
          <w:b/>
          <w:bCs/>
        </w:rPr>
        <w:t xml:space="preserve">Lưu hồ sơ:</w:t>
      </w:r>
    </w:p>
    <w:p>
      <w:pPr>
        <w:pStyle w:val="Compact"/>
        <w:numPr>
          <w:ilvl w:val="0"/>
          <w:numId w:val="1005"/>
        </w:numPr>
      </w:pPr>
      <w:r>
        <w:t xml:space="preserve">Lưu tài liệu sản phẩm đã cung cấp cho người chuyển tải và bằng chứng bàn giao —</w:t>
      </w:r>
      <w:r>
        <w:t xml:space="preserve"> </w:t>
      </w:r>
      <w:r>
        <w:t xml:space="preserve">cơ quan quản lý có quyền yêu cầu cung cấp</w:t>
      </w:r>
    </w:p>
    <w:p>
      <w:pPr>
        <w:pStyle w:val="Compact"/>
        <w:numPr>
          <w:ilvl w:val="0"/>
          <w:numId w:val="1005"/>
        </w:numPr>
      </w:pPr>
      <w:r>
        <w:t xml:space="preserve">Lưu sản phẩm quảng cáo hoàn chỉnh và hồ sơ đăng phát</w:t>
      </w:r>
    </w:p>
    <w:p>
      <w:r>
        <w:pict>
          <v:rect style="width:0;height:1.5pt" o:hralign="center" o:hrstd="t" o:hr="t"/>
        </w:pict>
      </w:r>
    </w:p>
    <w:bookmarkEnd w:id="18"/>
    <w:bookmarkStart w:id="19" w:name="X125fb7bc106396ab2dff597473f37e98c17d045"/>
    <w:p>
      <w:pPr>
        <w:pStyle w:val="Heading2"/>
      </w:pPr>
      <w:r>
        <w:t xml:space="preserve">VIII. Căn cứ pháp lý được dẫn trong bản này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Chủ đề</w:t>
            </w:r>
          </w:p>
        </w:tc>
        <w:tc>
          <w:tcPr/>
          <w:p>
            <w:pPr>
              <w:pStyle w:val="Compact"/>
            </w:pPr>
            <w:r>
              <w:t xml:space="preserve">Căn cứ</w:t>
            </w:r>
          </w:p>
        </w:tc>
        <w:tc>
          <w:tcPr/>
          <w:p>
            <w:pPr>
              <w:pStyle w:val="Compact"/>
            </w:pPr>
            <w:r>
              <w:t xml:space="preserve">Hiệu lực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Quảng cáo và nghĩa vụ người chuyển tải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75/2025/QH15</w:t>
            </w:r>
            <w:r>
              <w:t xml:space="preserve"> </w:t>
            </w:r>
            <w:r>
              <w:t xml:space="preserve">(bổ sung Điều 15a; quảng cáo trên mạng tại Điều 23)</w:t>
            </w:r>
          </w:p>
        </w:tc>
        <w:tc>
          <w:tcPr/>
          <w:p>
            <w:pPr>
              <w:pStyle w:val="Compact"/>
            </w:pPr>
            <w:r>
              <w:t xml:space="preserve">01/01/2026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Bảo vệ người tiêu dùng và tài trợ không công bố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19/2023/QH15</w:t>
            </w:r>
          </w:p>
        </w:tc>
        <w:tc>
          <w:tcPr/>
          <w:p>
            <w:pPr>
              <w:pStyle w:val="Compact"/>
            </w:pPr>
            <w:r>
              <w:t xml:space="preserve">01/7/2024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Xác thực tài khoản mạng xã hội</w:t>
            </w:r>
          </w:p>
        </w:tc>
        <w:tc>
          <w:tcPr/>
          <w:p>
            <w:pPr>
              <w:pStyle w:val="Compact"/>
            </w:pPr>
            <w:r>
              <w:t xml:space="preserve">Nghị định</w:t>
            </w:r>
            <w:r>
              <w:t xml:space="preserve"> </w:t>
            </w:r>
            <w:r>
              <w:rPr>
                <w:b/>
                <w:bCs/>
              </w:rPr>
              <w:t xml:space="preserve">147/2024/NĐ-CP</w:t>
            </w:r>
          </w:p>
        </w:tc>
        <w:tc>
          <w:tcPr/>
          <w:p>
            <w:pPr>
              <w:pStyle w:val="Compact"/>
            </w:pPr>
            <w:r>
              <w:t xml:space="preserve">25/12/2024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Bảo vệ dữ liệu cá nhân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91/2025/QH15</w:t>
            </w:r>
            <w:r>
              <w:t xml:space="preserve"> </w:t>
            </w:r>
            <w:r>
              <w:t xml:space="preserve">· Nghị định</w:t>
            </w:r>
            <w:r>
              <w:t xml:space="preserve"> </w:t>
            </w:r>
            <w:r>
              <w:rPr>
                <w:b/>
                <w:bCs/>
              </w:rPr>
              <w:t xml:space="preserve">356/2025/NĐ-CP</w:t>
            </w:r>
          </w:p>
        </w:tc>
        <w:tc>
          <w:tcPr/>
          <w:p>
            <w:pPr>
              <w:pStyle w:val="Compact"/>
            </w:pPr>
            <w:r>
              <w:t xml:space="preserve">01/01/2026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Thương mại điện tử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122/2025/QH15</w:t>
            </w:r>
          </w:p>
        </w:tc>
        <w:tc>
          <w:tcPr/>
          <w:p>
            <w:pPr>
              <w:pStyle w:val="Compact"/>
            </w:pPr>
            <w:r>
              <w:t xml:space="preserve">01/7/2026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Thuế tiêu thụ đặc biệt (gồm nước giải khát có đường)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66/2025/QH15</w:t>
            </w:r>
          </w:p>
        </w:tc>
        <w:tc>
          <w:tcPr/>
          <w:p>
            <w:pPr>
              <w:pStyle w:val="Compact"/>
            </w:pPr>
            <w:r>
              <w:t xml:space="preserve">01/01/2026 (thuế suất đồ uống theo lộ trình 2027 / 2028)</w:t>
            </w:r>
          </w:p>
        </w:tc>
      </w:tr>
      <w:tr>
        <w:tc>
          <w:tcPr/>
          <w:p>
            <w:pPr>
              <w:pStyle w:val="Compact"/>
            </w:pPr>
            <w:r>
              <w:t xml:space="preserve">Hạn chế quảng cáo rượu, bia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44/2019/QH14</w:t>
            </w:r>
            <w:r>
              <w:t xml:space="preserve">, Điều 5 và Điều 12</w:t>
            </w:r>
          </w:p>
        </w:tc>
        <w:tc>
          <w:tcPr/>
          <w:p>
            <w:pPr>
              <w:pStyle w:val="Compact"/>
            </w:pPr>
            <w:r>
              <w:t xml:space="preserve">01/01/2020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Cấm quảng cáo thuốc lá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09/2012/QH13</w:t>
            </w:r>
            <w:r>
              <w:t xml:space="preserve">, Điều 9</w:t>
            </w:r>
          </w:p>
        </w:tc>
        <w:tc>
          <w:tcPr/>
          <w:p>
            <w:pPr>
              <w:pStyle w:val="Compact"/>
            </w:pPr>
            <w:r>
              <w:t xml:space="preserve">01/5/2013</w:t>
            </w:r>
          </w:p>
        </w:tc>
      </w:tr>
    </w:tbl>
    <w:p>
      <w:pPr>
        <w:pStyle w:val="BodyText"/>
      </w:pPr>
      <w:r>
        <w:rPr>
          <w:b/>
          <w:bCs/>
        </w:rPr>
        <w:t xml:space="preserve">Ngày rà soát quy định pháp luật</w:t>
      </w:r>
      <w:r>
        <w:t xml:space="preserve">: 18/09/2026.</w:t>
      </w:r>
    </w:p>
    <w:p>
      <w:r>
        <w:pict>
          <v:rect style="width:0;height:1.5pt" o:hralign="center" o:hrstd="t" o:hr="t"/>
        </w:pict>
      </w:r>
    </w:p>
    <w:bookmarkEnd w:id="19"/>
    <w:bookmarkStart w:id="20" w:name="ix.-hướng-dẫn-sử-dụng-và-lưu-ý-rủi-ro"/>
    <w:p>
      <w:pPr>
        <w:pStyle w:val="Heading2"/>
      </w:pPr>
      <w:r>
        <w:t xml:space="preserve">IX. Hướng dẫn sử dụng và lưu ý rủi ro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Đây là tài liệu tham khảo chung, không phải ý kiến pháp lý.</w:t>
      </w:r>
      <w:r>
        <w:t xml:space="preserve"> </w:t>
      </w:r>
      <w:r>
        <w:t xml:space="preserve">Cách áp dụng quy định</w:t>
      </w:r>
      <w:r>
        <w:t xml:space="preserve"> </w:t>
      </w:r>
      <w:r>
        <w:t xml:space="preserve">tuân thủ quảng cáo khác nhau theo ngành hàng, phương tiện và cấu trúc hợp tác;</w:t>
      </w:r>
      <w:r>
        <w:t xml:space="preserve"> </w:t>
      </w:r>
      <w:r>
        <w:t xml:space="preserve">với phương án triển khai cụ thể, vui lòng lấy ý kiến luật sư hành nghề tại Việt Nam.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Những nội dung bản này cố ý không viết</w:t>
      </w:r>
      <w:r>
        <w:t xml:space="preserve">, vì tính đến ngày rà soát chưa có nguồn gốc</w:t>
      </w:r>
      <w:r>
        <w:t xml:space="preserve"> </w:t>
      </w:r>
      <w:r>
        <w:t xml:space="preserve">dẫn chiếu được kiểm chứng:</w:t>
      </w:r>
    </w:p>
    <w:p>
      <w:pPr>
        <w:pStyle w:val="Compact"/>
        <w:numPr>
          <w:ilvl w:val="1"/>
          <w:numId w:val="1007"/>
        </w:numPr>
      </w:pPr>
      <w:r>
        <w:t xml:space="preserve">Quy mô người dùng và thị phần của từng nền tảng mạng xã hội, sàn TMĐT tại Việt Nam</w:t>
      </w:r>
      <w:r>
        <w:t xml:space="preserve"> </w:t>
      </w:r>
      <w:r>
        <w:t xml:space="preserve">(số liệu hiện có từ báo cáo thương mại, cách tính không thống nhất)</w:t>
      </w:r>
    </w:p>
    <w:p>
      <w:pPr>
        <w:pStyle w:val="Compact"/>
        <w:numPr>
          <w:ilvl w:val="1"/>
          <w:numId w:val="1007"/>
        </w:numPr>
      </w:pPr>
      <w:r>
        <w:t xml:space="preserve">Quy mô và tốc độ tăng trưởng GMV thương mại điện tử</w:t>
      </w:r>
    </w:p>
    <w:p>
      <w:pPr>
        <w:pStyle w:val="Compact"/>
        <w:numPr>
          <w:ilvl w:val="1"/>
          <w:numId w:val="1007"/>
        </w:numPr>
      </w:pPr>
      <w:r>
        <w:t xml:space="preserve">Khung giá và thông lệ thanh toán với KOL / KOC</w:t>
      </w:r>
    </w:p>
    <w:p>
      <w:pPr>
        <w:pStyle w:val="Compact"/>
        <w:numPr>
          <w:ilvl w:val="1"/>
          <w:numId w:val="1007"/>
        </w:numPr>
      </w:pPr>
      <w:r>
        <w:t xml:space="preserve">Mức phạt cụ thể với hành vi vi phạm quảng cáo (các nghị định xử phạt đã sửa đổi nhiều lần,</w:t>
      </w:r>
      <w:r>
        <w:t xml:space="preserve"> </w:t>
      </w:r>
      <w:r>
        <w:t xml:space="preserve">chưa rà soát được bản đang có hiệu lực)</w:t>
      </w:r>
    </w:p>
    <w:p>
      <w:pPr>
        <w:pStyle w:val="Compact"/>
        <w:numPr>
          <w:ilvl w:val="1"/>
          <w:numId w:val="1007"/>
        </w:numPr>
      </w:pPr>
      <w:r>
        <w:t xml:space="preserve">Nội dung điều khoản cụ thể của Luật 122/2025/QH15 và Nghị định 356/2025/NĐ-CP</w:t>
      </w:r>
    </w:p>
    <w:p>
      <w:pPr>
        <w:numPr>
          <w:ilvl w:val="0"/>
          <w:numId w:val="1000"/>
        </w:numPr>
      </w:pPr>
      <w:r>
        <w:rPr>
          <w:b/>
          <w:bCs/>
        </w:rPr>
        <w:t xml:space="preserve">Theo nguyên tắc biên tập của chuyên mục, con số chưa kiểm chứng thì không viết</w:t>
      </w:r>
      <w:r>
        <w:t xml:space="preserve">,</w:t>
      </w:r>
      <w:r>
        <w:t xml:space="preserve"> </w:t>
      </w:r>
      <w:r>
        <w:t xml:space="preserve">thay vì điền một giá trị nghe có vẻ hợp lý.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Nhiều nội dung ở đây sẽ lạc hậu theo thời gian.</w:t>
      </w:r>
      <w:r>
        <w:t xml:space="preserve"> </w:t>
      </w:r>
      <w:r>
        <w:t xml:space="preserve">Trong năm 2026 có hai đạo luật lần lượt</w:t>
      </w:r>
      <w:r>
        <w:t xml:space="preserve"> </w:t>
      </w:r>
      <w:r>
        <w:t xml:space="preserve">có hiệu lực vào tháng 1 và tháng 7, văn bản hướng dẫn vẫn đang được ban hành.</w:t>
      </w:r>
      <w:r>
        <w:t xml:space="preserve"> </w:t>
      </w:r>
      <w:r>
        <w:rPr>
          <w:b/>
          <w:bCs/>
        </w:rPr>
        <w:t xml:space="preserve">Tài liệu này nằm trong danh mục rà soát theo quý.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Tài liệu này không chứa thông tin của bất kỳ doanh nghiệp cụ thể nào.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vi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Các kênh marketing chính tại Việt Nam và điểm tuân thủ quảng cáo năm 2026</dc:title>
  <dc:creator/>
  <dc:language>vi</dc:language>
  <cp:keywords/>
  <dcterms:created xsi:type="dcterms:W3CDTF">2026-10-31T05:14:35Z</dcterms:created>
  <dcterms:modified xsi:type="dcterms:W3CDTF">2026-10-31T05:14:35Z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