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Vietnamese vs. Chinese Shareholders Establishing a Business in Vietnam — A Comparison (2026 Edition)</w:t>
      </w:r>
    </w:p>
    <w:bookmarkStart w:id="19" w:name="Xc149e1b12d111541c48711611d866329d822fb3"/>
    <w:p>
      <w:pPr>
        <w:pStyle w:val="Heading1"/>
      </w:pPr>
      <w:r>
        <w:t xml:space="preserve">VIETNAMESE VS. CHINESE SHAREHOLDERS / MEMBERS / OWNERS ESTABLISHING A BUSINESS IN VIETNAM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Before reading, distinguish two kinds of timing.</w:t>
      </w:r>
      <w:r>
        <w:t xml:space="preserve"> </w:t>
      </w:r>
      <w:r>
        <w:t xml:space="preserve">The periods in this note are of two</w:t>
      </w:r>
      <w:r>
        <w:t xml:space="preserve"> </w:t>
      </w:r>
      <w:r>
        <w:t xml:space="preserve">different kinds: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Statutory periods</w:t>
      </w:r>
      <w:r>
        <w:t xml:space="preserve"> </w:t>
      </w:r>
      <w:r>
        <w:t xml:space="preserve">— written into law, binding on the competent authority, with an</w:t>
      </w:r>
      <w:r>
        <w:t xml:space="preserve"> </w:t>
      </w:r>
      <w:r>
        <w:t xml:space="preserve">article of legislation behind them;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Indicative real-world timings</w:t>
      </w:r>
      <w:r>
        <w:t xml:space="preserve"> </w:t>
      </w:r>
      <w:r>
        <w:t xml:space="preserve">— experience of how long it takes from filing to</w:t>
      </w:r>
      <w:r>
        <w:t xml:space="preserve"> </w:t>
      </w:r>
      <w:r>
        <w:t xml:space="preserve">receiving the certificate. These</w:t>
      </w:r>
      <w:r>
        <w:t xml:space="preserve"> </w:t>
      </w:r>
      <w:r>
        <w:rPr>
          <w:b/>
          <w:bCs/>
        </w:rPr>
        <w:t xml:space="preserve">depend on the province, caseload and any requests for</w:t>
      </w:r>
      <w:r>
        <w:rPr>
          <w:b/>
          <w:bCs/>
        </w:rPr>
        <w:t xml:space="preserve"> </w:t>
      </w:r>
      <w:r>
        <w:rPr>
          <w:b/>
          <w:bCs/>
        </w:rPr>
        <w:t xml:space="preserve">further documents, and are not prescribed by law</w:t>
      </w:r>
      <w:r>
        <w:t xml:space="preserve">.</w:t>
      </w:r>
    </w:p>
    <w:p>
      <w:pPr>
        <w:pStyle w:val="BlockText"/>
      </w:pPr>
      <w:r>
        <w:t xml:space="preserve">The source material mixed the two (giving</w:t>
      </w:r>
      <w:r>
        <w:t xml:space="preserve"> </w:t>
      </w:r>
      <w:r>
        <w:t xml:space="preserve">“30 to 45 working days”</w:t>
      </w:r>
      <w:r>
        <w:t xml:space="preserve"> </w:t>
      </w:r>
      <w:r>
        <w:t xml:space="preserve">without saying it was an</w:t>
      </w:r>
      <w:r>
        <w:t xml:space="preserve"> </w:t>
      </w:r>
      <w:r>
        <w:t xml:space="preserve">estimate), which invites readers to treat an estimate as an entitlement. This edition</w:t>
      </w:r>
      <w:r>
        <w:t xml:space="preserve"> </w:t>
      </w:r>
      <w:r>
        <w:rPr>
          <w:b/>
          <w:bCs/>
        </w:rPr>
        <w:t xml:space="preserve">sets them out separately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9" w:name="i.-general-comparison"/>
    <w:p>
      <w:pPr>
        <w:pStyle w:val="Heading2"/>
      </w:pPr>
      <w:r>
        <w:t xml:space="preserve">I. General Comparison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Vietnamese shareholder / member / owner</w:t>
            </w:r>
          </w:p>
        </w:tc>
        <w:tc>
          <w:tcPr/>
          <w:p>
            <w:pPr>
              <w:pStyle w:val="Compact"/>
            </w:pPr>
            <w:r>
              <w:t xml:space="preserve">Chinese shareholder / member / 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Investor status</w:t>
            </w:r>
          </w:p>
        </w:tc>
        <w:tc>
          <w:tcPr/>
          <w:p>
            <w:pPr>
              <w:pStyle w:val="Compact"/>
            </w:pPr>
            <w:r>
              <w:t xml:space="preserve">Not a foreign investor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 foreign investor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Establishment procedure</w:t>
            </w:r>
          </w:p>
        </w:tc>
        <w:tc>
          <w:tcPr/>
          <w:p>
            <w:pPr>
              <w:pStyle w:val="Compact"/>
            </w:pPr>
            <w:r>
              <w:t xml:space="preserve">Direct enterprise registration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Must first obtain an Investment Registration Certificate (IRC)</w:t>
            </w:r>
            <w:r>
              <w:t xml:space="preserve">, then the Enterprise Registration Certificate (ERC)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Receiving authority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Business Registration and Corporate Finance Division</w:t>
            </w:r>
            <w:r>
              <w:t xml:space="preserve"> </w:t>
            </w:r>
            <w:r>
              <w:t xml:space="preserve">of the Department of Finance</w:t>
            </w:r>
          </w:p>
        </w:tc>
        <w:tc>
          <w:tcPr/>
          <w:p>
            <w:pPr>
              <w:pStyle w:val="Compact"/>
            </w:pPr>
            <w:r>
              <w:t xml:space="preserve">As at left; the IRC is issued by the investment registration authority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Statutory period</w:t>
            </w:r>
          </w:p>
        </w:tc>
        <w:tc>
          <w:tcPr/>
          <w:p>
            <w:pPr>
              <w:pStyle w:val="Compact"/>
            </w:pPr>
            <w:r>
              <w:t xml:space="preserve">Enterprise registration under the Law on Enterprises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IRC: within 15 days</w:t>
            </w:r>
            <w:r>
              <w:t xml:space="preserve"> </w:t>
            </w:r>
            <w:r>
              <w:t xml:space="preserve">of receipt of a valid application (Article 38, Investment Law, for projects not requiring in-principle approval)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Indicative real-world timing</w:t>
            </w:r>
          </w:p>
        </w:tc>
        <w:tc>
          <w:tcPr/>
          <w:p>
            <w:pPr>
              <w:pStyle w:val="Compact"/>
            </w:pPr>
            <w:r>
              <w:t xml:space="preserve">About 5–7 working days</w:t>
            </w:r>
          </w:p>
        </w:tc>
        <w:tc>
          <w:tcPr/>
          <w:p>
            <w:pPr>
              <w:pStyle w:val="Compact"/>
            </w:pPr>
            <w:r>
              <w:t xml:space="preserve">About 30–45 working days (covering both the IRC and ERC stages, plus consular legalisation and similar preliminary steps)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Capital contribution account</w:t>
            </w:r>
          </w:p>
        </w:tc>
        <w:tc>
          <w:tcPr/>
          <w:p>
            <w:pPr>
              <w:pStyle w:val="Compact"/>
            </w:pPr>
            <w:r>
              <w:t xml:space="preserve">No dedicated investment capital account required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Capital must be contributed through a Direct Investment Capital Account (DICA)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Sectoral access</w:t>
            </w:r>
          </w:p>
        </w:tc>
        <w:tc>
          <w:tcPr/>
          <w:p>
            <w:pPr>
              <w:pStyle w:val="Compact"/>
            </w:pPr>
            <w:r>
              <w:t xml:space="preserve">No restrictions</w:t>
            </w:r>
          </w:p>
        </w:tc>
        <w:tc>
          <w:tcPr/>
          <w:p>
            <w:pPr>
              <w:pStyle w:val="Compact"/>
            </w:pPr>
            <w:r>
              <w:t xml:space="preserve">Certain sectors are restricted for foreign investors or require prior approval (logistics, education, fintech, e-commerce, publishing and the like)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Legal documents</w:t>
            </w:r>
          </w:p>
        </w:tc>
        <w:tc>
          <w:tcPr/>
          <w:p>
            <w:pPr>
              <w:pStyle w:val="Compact"/>
            </w:pPr>
            <w:r>
              <w:t xml:space="preserve">Enterprise Registration Certificate, charter, decision appointing the legal representative, etc. (certified copies)</w:t>
            </w:r>
          </w:p>
        </w:tc>
        <w:tc>
          <w:tcPr/>
          <w:p>
            <w:pPr>
              <w:pStyle w:val="Compact"/>
            </w:pPr>
            <w:r>
              <w:t xml:space="preserve">Business licence, charter, passport of the legal representative, power of attorney, etc.,</w:t>
            </w:r>
            <w:r>
              <w:t xml:space="preserve"> </w:t>
            </w:r>
            <w:r>
              <w:rPr>
                <w:b/>
                <w:bCs/>
              </w:rPr>
              <w:t xml:space="preserve">all consular-legalised and translated into Vietnamese by a notarised translation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Currency of contribution</w:t>
            </w:r>
          </w:p>
        </w:tc>
        <w:tc>
          <w:tcPr/>
          <w:p>
            <w:pPr>
              <w:pStyle w:val="Compact"/>
            </w:pPr>
            <w:r>
              <w:t xml:space="preserve">Not mandated; contributions may be in VND</w:t>
            </w:r>
          </w:p>
        </w:tc>
        <w:tc>
          <w:tcPr/>
          <w:p>
            <w:pPr>
              <w:pStyle w:val="Compact"/>
            </w:pPr>
            <w:r>
              <w:t xml:space="preserve">See Part III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Regulatory supervision</w:t>
            </w:r>
          </w:p>
        </w:tc>
        <w:tc>
          <w:tcPr/>
          <w:p>
            <w:pPr>
              <w:pStyle w:val="Compact"/>
            </w:pPr>
            <w:r>
              <w:t xml:space="preserve">No special supervision</w:t>
            </w:r>
          </w:p>
        </w:tc>
        <w:tc>
          <w:tcPr/>
          <w:p>
            <w:pPr>
              <w:pStyle w:val="Compact"/>
            </w:pPr>
            <w:r>
              <w:t xml:space="preserve">Supervised under the Investment Law and its implementing decrees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M&amp;A, capital increase</w:t>
            </w:r>
          </w:p>
        </w:tc>
        <w:tc>
          <w:tcPr/>
          <w:p>
            <w:pPr>
              <w:pStyle w:val="Compact"/>
            </w:pPr>
            <w:r>
              <w:t xml:space="preserve">Straightforward, handled internally</w:t>
            </w:r>
          </w:p>
        </w:tc>
        <w:tc>
          <w:tcPr/>
          <w:p>
            <w:pPr>
              <w:pStyle w:val="Compact"/>
            </w:pPr>
            <w:r>
              <w:t xml:space="preserve">Requires amendment of the IRC and notification to the Department of Finance and the State Bank of Vietnam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name of the receiving authority has been updated</w:t>
      </w:r>
      <w:r>
        <w:t xml:space="preserve">: in the 2025 administrative</w:t>
      </w:r>
      <w:r>
        <w:t xml:space="preserve"> </w:t>
      </w:r>
      <w:r>
        <w:t xml:space="preserve">reform the</w:t>
      </w:r>
      <w:r>
        <w:t xml:space="preserve"> </w:t>
      </w:r>
      <w:r>
        <w:rPr>
          <w:b/>
          <w:bCs/>
        </w:rPr>
        <w:t xml:space="preserve">Department of Planning and Investment was merged into the Department of</w:t>
      </w:r>
      <w:r>
        <w:rPr>
          <w:b/>
          <w:bCs/>
        </w:rPr>
        <w:t xml:space="preserve"> </w:t>
      </w:r>
      <w:r>
        <w:rPr>
          <w:b/>
          <w:bCs/>
        </w:rPr>
        <w:t xml:space="preserve">Finance</w:t>
      </w:r>
      <w:r>
        <w:t xml:space="preserve">; business registration is now handled by the</w:t>
      </w:r>
      <w:r>
        <w:t xml:space="preserve"> </w:t>
      </w:r>
      <w:r>
        <w:rPr>
          <w:b/>
          <w:bCs/>
        </w:rPr>
        <w:t xml:space="preserve">Business Registration and</w:t>
      </w:r>
      <w:r>
        <w:rPr>
          <w:b/>
          <w:bCs/>
        </w:rPr>
        <w:t xml:space="preserve"> </w:t>
      </w:r>
      <w:r>
        <w:rPr>
          <w:b/>
          <w:bCs/>
        </w:rPr>
        <w:t xml:space="preserve">Corporate Finance Division</w:t>
      </w:r>
      <w:r>
        <w:t xml:space="preserve"> </w:t>
      </w:r>
      <w:r>
        <w:t xml:space="preserve">of the Department of Finance. The source said</w:t>
      </w:r>
      <w:r>
        <w:t xml:space="preserve"> </w:t>
      </w:r>
      <w:r>
        <w:t xml:space="preserve">“direct</w:t>
      </w:r>
      <w:r>
        <w:t xml:space="preserve"> </w:t>
      </w:r>
      <w:r>
        <w:t xml:space="preserve">enterprise registration with the Department of Finance”</w:t>
      </w:r>
      <w:r>
        <w:t xml:space="preserve"> </w:t>
      </w:r>
      <w:r>
        <w:t xml:space="preserve">— which is right, and uncommon in</w:t>
      </w:r>
      <w:r>
        <w:t xml:space="preserve"> </w:t>
      </w:r>
      <w:r>
        <w:t xml:space="preserve">Chinese-language material — but it stops at department level, whereas anyone actually</w:t>
      </w:r>
      <w:r>
        <w:t xml:space="preserve"> </w:t>
      </w:r>
      <w:r>
        <w:t xml:space="preserve">filing needs the division.</w:t>
      </w:r>
    </w:p>
    <w:p>
      <w:pPr>
        <w:pStyle w:val="BlockText"/>
      </w:pPr>
      <w:r>
        <w:rPr>
          <w:b/>
          <w:bCs/>
        </w:rPr>
        <w:t xml:space="preserve">〔Not yet verified〕</w:t>
      </w:r>
      <w:r>
        <w:t xml:space="preserve"> </w:t>
      </w:r>
      <w:r>
        <w:t xml:space="preserve">the substance of the procedural changes following the</w:t>
      </w:r>
      <w:r>
        <w:t xml:space="preserve"> </w:t>
      </w:r>
      <w:r>
        <w:t xml:space="preserve">1 July 2025 administrative reform (which steps moved online, and whether any were devolved).</w:t>
      </w:r>
    </w:p>
    <w:p>
      <w:r>
        <w:pict>
          <v:rect style="width:0;height:1.5pt" o:hralign="center" o:hrstd="t" o:hr="t"/>
        </w:pict>
      </w:r>
    </w:p>
    <w:bookmarkEnd w:id="9"/>
    <w:bookmarkStart w:id="13" w:name="Xef33d761bdac6205477288389ab7450c94a429a"/>
    <w:p>
      <w:pPr>
        <w:pStyle w:val="Heading2"/>
      </w:pPr>
      <w:r>
        <w:t xml:space="preserve">II. Specific Requirements for Chinese Investors</w:t>
      </w:r>
    </w:p>
    <w:bookmarkStart w:id="10" w:name="X0c2b92f460d1b8cd187c23898f4b46b28628f13"/>
    <w:p>
      <w:pPr>
        <w:pStyle w:val="Heading3"/>
      </w:pPr>
      <w:r>
        <w:t xml:space="preserve">2.1. Obtaining the Investment Registration Certificate (IRC)</w:t>
      </w:r>
    </w:p>
    <w:p>
      <w:pPr>
        <w:pStyle w:val="FirstParagraph"/>
      </w:pPr>
      <w:r>
        <w:t xml:space="preserve">Documents required:</w:t>
      </w:r>
    </w:p>
    <w:p>
      <w:pPr>
        <w:pStyle w:val="Compact"/>
        <w:numPr>
          <w:ilvl w:val="0"/>
          <w:numId w:val="1002"/>
        </w:numPr>
      </w:pPr>
      <w:r>
        <w:t xml:space="preserve">Investment project proposal;</w:t>
      </w:r>
    </w:p>
    <w:p>
      <w:pPr>
        <w:pStyle w:val="Compact"/>
        <w:numPr>
          <w:ilvl w:val="0"/>
          <w:numId w:val="1002"/>
        </w:numPr>
      </w:pPr>
      <w:r>
        <w:t xml:space="preserve">Statement of financial capability (corporate investors);</w:t>
      </w:r>
    </w:p>
    <w:p>
      <w:pPr>
        <w:pStyle w:val="Compact"/>
        <w:numPr>
          <w:ilvl w:val="0"/>
          <w:numId w:val="1002"/>
        </w:numPr>
      </w:pPr>
      <w:r>
        <w:t xml:space="preserve">Charter of the parent company (corporate investors);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Financial statements for the two most recent years</w:t>
      </w:r>
      <w:r>
        <w:t xml:space="preserve"> </w:t>
      </w:r>
      <w:r>
        <w:t xml:space="preserve">(corporate investors);</w:t>
      </w:r>
    </w:p>
    <w:p>
      <w:pPr>
        <w:pStyle w:val="Compact"/>
        <w:numPr>
          <w:ilvl w:val="0"/>
          <w:numId w:val="1002"/>
        </w:numPr>
      </w:pPr>
      <w:r>
        <w:t xml:space="preserve">Passport or identity document of the authorised representative / legal representative;</w:t>
      </w:r>
    </w:p>
    <w:p>
      <w:pPr>
        <w:pStyle w:val="Compact"/>
        <w:numPr>
          <w:ilvl w:val="0"/>
          <w:numId w:val="1002"/>
        </w:numPr>
      </w:pPr>
      <w:r>
        <w:t xml:space="preserve">Business licence of the parent company (corporate investors);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All of the above must be consular-legalised and accompanied by notarised Vietnamese translations.</w:t>
      </w:r>
    </w:p>
    <w:p>
      <w:pPr>
        <w:pStyle w:val="FirstParagraph"/>
      </w:pPr>
      <w:r>
        <w:rPr>
          <w:b/>
          <w:bCs/>
        </w:rPr>
        <w:t xml:space="preserve">Statutory period</w:t>
      </w:r>
      <w:r>
        <w:t xml:space="preserve">: under</w:t>
      </w:r>
      <w:r>
        <w:t xml:space="preserve"> </w:t>
      </w:r>
      <w:r>
        <w:rPr>
          <w:b/>
          <w:bCs/>
        </w:rPr>
        <w:t xml:space="preserve">Article 38 of the Investment Law 2020 (No. 61/2020/QH14)</w:t>
      </w:r>
      <w:r>
        <w:t xml:space="preserve">,</w:t>
      </w:r>
      <w:r>
        <w:t xml:space="preserve"> </w:t>
      </w:r>
      <w:r>
        <w:t xml:space="preserve">for an investment project not requiring in-principle approval the investment registration</w:t>
      </w:r>
      <w:r>
        <w:t xml:space="preserve"> </w:t>
      </w:r>
      <w:r>
        <w:t xml:space="preserve">authority issues the IRC</w:t>
      </w:r>
      <w:r>
        <w:t xml:space="preserve"> </w:t>
      </w:r>
      <w:r>
        <w:rPr>
          <w:b/>
          <w:bCs/>
        </w:rPr>
        <w:t xml:space="preserve">within 15 days</w:t>
      </w:r>
      <w:r>
        <w:t xml:space="preserve"> </w:t>
      </w:r>
      <w:r>
        <w:t xml:space="preserve">of receiving the investor’s application.</w:t>
      </w:r>
    </w:p>
    <w:p>
      <w:pPr>
        <w:pStyle w:val="BlockText"/>
      </w:pPr>
      <w:r>
        <w:rPr>
          <w:b/>
          <w:bCs/>
        </w:rPr>
        <w:t xml:space="preserve">In practice this usually takes longer than the statutory period</w:t>
      </w:r>
      <w:r>
        <w:t xml:space="preserve">, because of caseloads</w:t>
      </w:r>
      <w:r>
        <w:t xml:space="preserve"> </w:t>
      </w:r>
      <w:r>
        <w:t xml:space="preserve">in individual provinces, requests for further documents, and the time consular</w:t>
      </w:r>
      <w:r>
        <w:t xml:space="preserve"> </w:t>
      </w:r>
      <w:r>
        <w:t xml:space="preserve">legalisation and notarised translation of foreign documents themselves take —</w:t>
      </w:r>
      <w:r>
        <w:t xml:space="preserve"> </w:t>
      </w:r>
      <w:r>
        <w:rPr>
          <w:b/>
          <w:bCs/>
        </w:rPr>
        <w:t xml:space="preserve">those steps happen before filing and do not count towards the 15 days</w:t>
      </w:r>
      <w:r>
        <w:t xml:space="preserve">.</w:t>
      </w:r>
      <w:r>
        <w:t xml:space="preserve"> </w:t>
      </w:r>
      <w:r>
        <w:t xml:space="preserve">Budget for the preparation phase separately when planning.</w:t>
      </w:r>
    </w:p>
    <w:bookmarkEnd w:id="10"/>
    <w:bookmarkStart w:id="11" w:name="Xc29a66f53e93aa0929d0bf7e47ae1313efbe0bd"/>
    <w:p>
      <w:pPr>
        <w:pStyle w:val="Heading3"/>
      </w:pPr>
      <w:r>
        <w:t xml:space="preserve">2.2. Opening a Direct Investment Capital Account (DICA)</w:t>
      </w:r>
    </w:p>
    <w:p>
      <w:pPr>
        <w:pStyle w:val="Compact"/>
        <w:numPr>
          <w:ilvl w:val="0"/>
          <w:numId w:val="1003"/>
        </w:numPr>
      </w:pPr>
      <w:r>
        <w:t xml:space="preserve">Opened at a commercial bank in Vietnam;</w:t>
      </w:r>
    </w:p>
    <w:p>
      <w:pPr>
        <w:pStyle w:val="Compact"/>
        <w:numPr>
          <w:ilvl w:val="0"/>
          <w:numId w:val="1003"/>
        </w:numPr>
      </w:pPr>
      <w:r>
        <w:t xml:space="preserve">Used to receive investment capital and to remit profits abroad;</w:t>
      </w:r>
    </w:p>
    <w:p>
      <w:pPr>
        <w:pStyle w:val="Compact"/>
        <w:numPr>
          <w:ilvl w:val="0"/>
          <w:numId w:val="1003"/>
        </w:numPr>
      </w:pPr>
      <w:r>
        <w:t xml:space="preserve">Basis:</w:t>
      </w:r>
      <w:r>
        <w:t xml:space="preserve"> </w:t>
      </w:r>
      <w:r>
        <w:rPr>
          <w:b/>
          <w:bCs/>
        </w:rPr>
        <w:t xml:space="preserve">Circular No. 06/2019/TT-NHNN</w:t>
      </w:r>
      <w:r>
        <w:t xml:space="preserve"> </w:t>
      </w:r>
      <w:r>
        <w:t xml:space="preserve">(State Bank of Vietnam),</w:t>
      </w:r>
      <w:r>
        <w:t xml:space="preserve"> </w:t>
      </w:r>
      <w:r>
        <w:rPr>
          <w:b/>
          <w:bCs/>
        </w:rPr>
        <w:t xml:space="preserve">effective 6 September 2019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The circular also governs capital contribution, the opening and use of a DICA, remittance</w:t>
      </w:r>
      <w:r>
        <w:t xml:space="preserve"> </w:t>
      </w:r>
      <w:r>
        <w:t xml:space="preserve">of capital and profits abroad, and transfers of investment capital and of projects.</w:t>
      </w:r>
    </w:p>
    <w:bookmarkEnd w:id="11"/>
    <w:bookmarkStart w:id="12" w:name="sectoral-restrictions"/>
    <w:p>
      <w:pPr>
        <w:pStyle w:val="Heading3"/>
      </w:pPr>
      <w:r>
        <w:t xml:space="preserve">2.3. Sectoral restrictions</w:t>
      </w:r>
    </w:p>
    <w:p>
      <w:pPr>
        <w:pStyle w:val="FirstParagraph"/>
      </w:pPr>
      <w:r>
        <w:t xml:space="preserve">Operating in a sector subject to market-access conditions for foreign investors (under WTO</w:t>
      </w:r>
      <w:r>
        <w:t xml:space="preserve"> </w:t>
      </w:r>
      <w:r>
        <w:t xml:space="preserve">commitments, the CPTPP or the Investment Law) may bring limits on the permitted</w:t>
      </w:r>
      <w:r>
        <w:t xml:space="preserve"> </w:t>
      </w:r>
      <w:r>
        <w:t xml:space="preserve">shareholding, or a requirement to operate as a joint venture.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X07de9e2c107e5c94cb27dbb8ec651d3ba0cd02c"/>
    <w:p>
      <w:pPr>
        <w:pStyle w:val="Heading2"/>
      </w:pPr>
      <w:r>
        <w:t xml:space="preserve">III. On the Currency of Contributions — Why This Edition Does Not Repeat the Source</w:t>
      </w:r>
    </w:p>
    <w:p>
      <w:pPr>
        <w:pStyle w:val="FirstParagraph"/>
      </w:pPr>
      <w:r>
        <w:t xml:space="preserve">Under</w:t>
      </w:r>
      <w:r>
        <w:t xml:space="preserve"> </w:t>
      </w:r>
      <w:r>
        <w:t xml:space="preserve">“other considerations”</w:t>
      </w:r>
      <w:r>
        <w:t xml:space="preserve">, the source said:</w:t>
      </w:r>
    </w:p>
    <w:p>
      <w:pPr>
        <w:pStyle w:val="BlockText"/>
      </w:pPr>
      <w:r>
        <w:t xml:space="preserve">“Is capital contribution in CNY allowed? —</w:t>
      </w:r>
      <w:r>
        <w:t xml:space="preserve"> </w:t>
      </w:r>
      <w:r>
        <w:rPr>
          <w:b/>
          <w:bCs/>
        </w:rPr>
        <w:t xml:space="preserve">No. Capital contribution is only permitted in</w:t>
      </w:r>
      <w:r>
        <w:rPr>
          <w:b/>
          <w:bCs/>
        </w:rPr>
        <w:t xml:space="preserve"> </w:t>
      </w:r>
      <w:r>
        <w:rPr>
          <w:b/>
          <w:bCs/>
        </w:rPr>
        <w:t xml:space="preserve">USD, EUR, etc.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“Capital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be contributed in foreign currency transferred from</w:t>
      </w:r>
      <w:r>
        <w:t xml:space="preserve"> </w:t>
      </w:r>
      <w:r>
        <w:t xml:space="preserve">an overseas account to the DICA.”</w:t>
      </w:r>
    </w:p>
    <w:p>
      <w:pPr>
        <w:pStyle w:val="FirstParagraph"/>
      </w:pPr>
      <w:r>
        <w:rPr>
          <w:b/>
          <w:bCs/>
        </w:rPr>
        <w:t xml:space="preserve">Circular No. 06/2019/TT-NHNN</w:t>
      </w:r>
      <w:r>
        <w:t xml:space="preserve">, however, provides that a DICA</w:t>
      </w:r>
      <w:r>
        <w:t xml:space="preserve"> </w:t>
      </w:r>
      <w:r>
        <w:rPr>
          <w:b/>
          <w:bCs/>
        </w:rPr>
        <w:t xml:space="preserve">may be a foreign-currency</w:t>
      </w:r>
      <w:r>
        <w:rPr>
          <w:b/>
          <w:bCs/>
        </w:rPr>
        <w:t xml:space="preserve"> </w:t>
      </w:r>
      <w:r>
        <w:rPr>
          <w:b/>
          <w:bCs/>
        </w:rPr>
        <w:t xml:space="preserve">account or a Vietnamese dong account</w:t>
      </w:r>
      <w:r>
        <w:t xml:space="preserve">.</w:t>
      </w:r>
    </w:p>
    <w:p>
      <w:pPr>
        <w:pStyle w:val="BodyText"/>
      </w:pPr>
      <w:r>
        <w:t xml:space="preserve">There is tension between the two. This edition</w:t>
      </w:r>
      <w:r>
        <w:t xml:space="preserve"> </w:t>
      </w:r>
      <w:r>
        <w:rPr>
          <w:b/>
          <w:bCs/>
        </w:rPr>
        <w:t xml:space="preserve">neither repeats the source’s assertion nor</w:t>
      </w:r>
      <w:r>
        <w:rPr>
          <w:b/>
          <w:bCs/>
        </w:rPr>
        <w:t xml:space="preserve"> </w:t>
      </w:r>
      <w:r>
        <w:rPr>
          <w:b/>
          <w:bCs/>
        </w:rPr>
        <w:t xml:space="preserve">declares it wrong</w:t>
      </w:r>
      <w:r>
        <w:t xml:space="preserve"> </w:t>
      </w:r>
      <w:r>
        <w:t xml:space="preserve">— because the circular’s provisions on</w:t>
      </w:r>
      <w:r>
        <w:t xml:space="preserve"> </w:t>
      </w:r>
      <w:r>
        <w:rPr>
          <w:b/>
          <w:bCs/>
        </w:rPr>
        <w:t xml:space="preserve">permitted contribution</w:t>
      </w:r>
      <w:r>
        <w:rPr>
          <w:b/>
          <w:bCs/>
        </w:rPr>
        <w:t xml:space="preserve"> </w:t>
      </w:r>
      <w:r>
        <w:rPr>
          <w:b/>
          <w:bCs/>
        </w:rPr>
        <w:t xml:space="preserve">currencies</w:t>
      </w:r>
      <w:r>
        <w:t xml:space="preserve"> </w:t>
      </w:r>
      <w:r>
        <w:t xml:space="preserve">have not been verified against the primary text.</w:t>
      </w:r>
    </w:p>
    <w:p>
      <w:pPr>
        <w:pStyle w:val="BodyText"/>
      </w:pPr>
      <w:r>
        <w:rPr>
          <w:b/>
          <w:bCs/>
        </w:rPr>
        <w:t xml:space="preserve">What this edition says</w:t>
      </w:r>
      <w:r>
        <w:t xml:space="preserve">: under Circular 06/2019 a DICA may be held in foreign currency or</w:t>
      </w:r>
      <w:r>
        <w:t xml:space="preserve"> </w:t>
      </w:r>
      <w:r>
        <w:t xml:space="preserve">in Vietnamese dong;</w:t>
      </w:r>
      <w:r>
        <w:t xml:space="preserve"> </w:t>
      </w:r>
      <w:r>
        <w:rPr>
          <w:b/>
          <w:bCs/>
        </w:rPr>
        <w:t xml:space="preserve">confirm the currency usable for any particular contribution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account bank and a practising adviser</w:t>
      </w:r>
      <w:r>
        <w:t xml:space="preserve">.</w:t>
      </w:r>
    </w:p>
    <w:p>
      <w:pPr>
        <w:pStyle w:val="BlockText"/>
      </w:pPr>
      <w:r>
        <w:t xml:space="preserve">This is the channel’s standard treatment where the evidence is incomplete: state what has</w:t>
      </w:r>
      <w:r>
        <w:t xml:space="preserve"> </w:t>
      </w:r>
      <w:r>
        <w:t xml:space="preserve">been verified, mark what has not, and leave the judgement to those in a position to verify</w:t>
      </w:r>
      <w:r>
        <w:t xml:space="preserve"> </w:t>
      </w:r>
      <w:r>
        <w:t xml:space="preserve">it — rather than picking whichever of two accounts sounds more definite.</w:t>
      </w:r>
    </w:p>
    <w:p>
      <w:r>
        <w:pict>
          <v:rect style="width:0;height:1.5pt" o:hralign="center" o:hrstd="t" o:hr="t"/>
        </w:pict>
      </w:r>
    </w:p>
    <w:bookmarkEnd w:id="14"/>
    <w:bookmarkStart w:id="15" w:name="X4a793a1485d7cacb1057ad730c9489d7577849f"/>
    <w:p>
      <w:pPr>
        <w:pStyle w:val="Heading2"/>
      </w:pPr>
      <w:r>
        <w:t xml:space="preserve">IV. Requirements for Vietnamese Shareholders / Members / Owners</w:t>
      </w:r>
    </w:p>
    <w:p>
      <w:pPr>
        <w:pStyle w:val="Compact"/>
        <w:numPr>
          <w:ilvl w:val="0"/>
          <w:numId w:val="1004"/>
        </w:numPr>
      </w:pPr>
      <w:r>
        <w:t xml:space="preserve">Enterprise Registration Certificate and company charter (corporate shareholders);</w:t>
      </w:r>
    </w:p>
    <w:p>
      <w:pPr>
        <w:pStyle w:val="Compact"/>
        <w:numPr>
          <w:ilvl w:val="0"/>
          <w:numId w:val="1004"/>
        </w:numPr>
      </w:pPr>
      <w:r>
        <w:t xml:space="preserve">Resolution and minutes on the capital contribution;</w:t>
      </w:r>
    </w:p>
    <w:p>
      <w:pPr>
        <w:pStyle w:val="Compact"/>
        <w:numPr>
          <w:ilvl w:val="0"/>
          <w:numId w:val="1004"/>
        </w:numPr>
      </w:pPr>
      <w:r>
        <w:t xml:space="preserve">Power of attorney for filing the dossier;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</w:t>
      </w:r>
      <w:r>
        <w:t xml:space="preserve"> </w:t>
      </w:r>
      <w:r>
        <w:t xml:space="preserve">consular legalisation or proof of overseas funds required;</w:t>
      </w:r>
    </w:p>
    <w:p>
      <w:pPr>
        <w:pStyle w:val="Compact"/>
        <w:numPr>
          <w:ilvl w:val="0"/>
          <w:numId w:val="1004"/>
        </w:numPr>
      </w:pPr>
      <w:r>
        <w:t xml:space="preserve">Contribution may be in cash (except for corporate entities) or by domestic bank transfer.</w:t>
      </w:r>
    </w:p>
    <w:p>
      <w:r>
        <w:pict>
          <v:rect style="width:0;height:1.5pt" o:hralign="center" o:hrstd="t" o:hr="t"/>
        </w:pict>
      </w:r>
    </w:p>
    <w:bookmarkEnd w:id="15"/>
    <w:bookmarkStart w:id="16" w:name="v.-frequently-asked-questions"/>
    <w:p>
      <w:pPr>
        <w:pStyle w:val="Heading2"/>
      </w:pPr>
      <w:r>
        <w:t xml:space="preserve">V. Frequently Asked Questions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What is required of the project location?</w:t>
            </w:r>
          </w:p>
        </w:tc>
        <w:tc>
          <w:tcPr/>
          <w:p>
            <w:pPr>
              <w:pStyle w:val="Compact"/>
            </w:pPr>
            <w:r>
              <w:t xml:space="preserve">It must conform to planning. The source also stated that</w:t>
            </w:r>
            <w:r>
              <w:t xml:space="preserve"> </w:t>
            </w:r>
            <w:r>
              <w:t xml:space="preserve">“a lease of at least 6 months”</w:t>
            </w:r>
            <w:r>
              <w:t xml:space="preserve"> </w:t>
            </w:r>
            <w:r>
              <w:t xml:space="preserve">is required —</w:t>
            </w:r>
            <w:r>
              <w:t xml:space="preserve"> </w:t>
            </w:r>
            <w:r>
              <w:rPr>
                <w:b/>
                <w:bCs/>
              </w:rPr>
              <w:t xml:space="preserve">no legal basis for that requirement could be verified, so this edition does not present it as settled</w:t>
            </w:r>
            <w:r>
              <w:t xml:space="preserve">. Follow the receiving authority’s requirements when filing.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Must the legal representative be Vietnamese?</w:t>
            </w:r>
          </w:p>
        </w:tc>
        <w:tc>
          <w:tcPr/>
          <w:p>
            <w:pPr>
              <w:pStyle w:val="Compact"/>
            </w:pPr>
            <w:r>
              <w:t xml:space="preserve">No, provided the person resides lawfully in Vietnam.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How is financial capability proved?</w:t>
            </w:r>
          </w:p>
        </w:tc>
        <w:tc>
          <w:tcPr/>
          <w:p>
            <w:pPr>
              <w:pStyle w:val="Compact"/>
            </w:pPr>
            <w:r>
              <w:t xml:space="preserve">Corporate investors ordinarily submit financial statements or a capital support commitment letter.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English version of the source contains a table error here</w:t>
      </w:r>
      <w:r>
        <w:t xml:space="preserve">: its last two rows both</w:t>
      </w:r>
      <w:r>
        <w:t xml:space="preserve"> </w:t>
      </w:r>
      <w:r>
        <w:t xml:space="preserve">asked</w:t>
      </w:r>
      <w:r>
        <w:t xml:space="preserve"> </w:t>
      </w:r>
      <w:r>
        <w:t xml:space="preserve">“Is the legal representative required to be Vietnamese?”</w:t>
      </w:r>
      <w:r>
        <w:t xml:space="preserve">, but the answer to the</w:t>
      </w:r>
      <w:r>
        <w:t xml:space="preserve"> </w:t>
      </w:r>
      <w:r>
        <w:t xml:space="preserve">second was</w:t>
      </w:r>
      <w:r>
        <w:t xml:space="preserve"> </w:t>
      </w:r>
      <w:r>
        <w:t xml:space="preserve">“Mandatory: financial statements or a capital support commitment letter”</w:t>
      </w:r>
      <w:r>
        <w:t xml:space="preserve"> </w:t>
      </w:r>
      <w:r>
        <w:t xml:space="preserve">—</w:t>
      </w:r>
      <w:r>
        <w:t xml:space="preserve"> </w:t>
      </w:r>
      <w:r>
        <w:t xml:space="preserve">that is the answer on</w:t>
      </w:r>
      <w:r>
        <w:t xml:space="preserve"> </w:t>
      </w:r>
      <w:r>
        <w:rPr>
          <w:b/>
          <w:bCs/>
        </w:rPr>
        <w:t xml:space="preserve">proving financial capability</w:t>
      </w:r>
      <w:r>
        <w:t xml:space="preserve">, mis-paired with the question about</w:t>
      </w:r>
      <w:r>
        <w:t xml:space="preserve"> </w:t>
      </w:r>
      <w:r>
        <w:t xml:space="preserve">the legal representative’s nationality. The Chinese version was correct at this point.</w:t>
      </w:r>
      <w:r>
        <w:t xml:space="preserve"> </w:t>
      </w:r>
      <w:r>
        <w:t xml:space="preserve">All three language versions here have been corrected consistently.</w:t>
      </w:r>
    </w:p>
    <w:p>
      <w:r>
        <w:pict>
          <v:rect style="width:0;height:1.5pt" o:hralign="center" o:hrstd="t" o:hr="t"/>
        </w:pict>
      </w:r>
    </w:p>
    <w:bookmarkEnd w:id="16"/>
    <w:bookmarkStart w:id="17" w:name="vi.-legal-basis-referenced"/>
    <w:p>
      <w:pPr>
        <w:pStyle w:val="Heading2"/>
      </w:pPr>
      <w:r>
        <w:t xml:space="preserve">VI. Legal Basis Referenced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Need for, and period to issue, an 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38, Investment Law No. 61/2020/QH14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days</w:t>
            </w:r>
            <w:r>
              <w:t xml:space="preserve"> </w:t>
            </w:r>
            <w:r>
              <w:t xml:space="preserve">from receipt of a valid application for projects not requiring in-principle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 requirement for business cooperation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27</w:t>
            </w:r>
            <w:r>
              <w:t xml:space="preserve">, same Law</w:t>
            </w:r>
          </w:p>
        </w:tc>
        <w:tc>
          <w:tcPr/>
          <w:p>
            <w:pPr>
              <w:pStyle w:val="Compact"/>
            </w:pPr>
            <w:r>
              <w:t xml:space="preserve">Not required between domestic investors; mandatory where a foreign investor is involved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DICA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Circular No. 06/2019/TT-NHNN</w:t>
            </w:r>
          </w:p>
        </w:tc>
        <w:tc>
          <w:tcPr/>
          <w:p>
            <w:pPr>
              <w:pStyle w:val="Compact"/>
            </w:pPr>
            <w:r>
              <w:t xml:space="preserve">Effective 06/09/2019; foreign currency or VND; mandatory for FDI enterprises and foreign investors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Registration authority</w:t>
            </w:r>
          </w:p>
        </w:tc>
        <w:tc>
          <w:tcPr/>
          <w:p>
            <w:pPr>
              <w:pStyle w:val="Compact"/>
            </w:pPr>
            <w:r>
              <w:t xml:space="preserve">2025 administrative reform</w:t>
            </w:r>
          </w:p>
        </w:tc>
        <w:tc>
          <w:tcPr/>
          <w:p>
            <w:pPr>
              <w:pStyle w:val="Compact"/>
            </w:pPr>
            <w:r>
              <w:t xml:space="preserve">Department of Planning and Investment merged into the Department of Finance; handled by its</w:t>
            </w:r>
            <w:r>
              <w:t xml:space="preserve"> </w:t>
            </w:r>
            <w:r>
              <w:rPr>
                <w:b/>
                <w:bCs/>
              </w:rPr>
              <w:t xml:space="preserve">Business Registration and Corporate Finance Division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vii.-how-to-use-this-note-and-its-limits"/>
    <w:p>
      <w:pPr>
        <w:pStyle w:val="Heading2"/>
      </w:pPr>
      <w:r>
        <w:t xml:space="preserve">VII. How to Use This Note, and Its Limits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This is a general comparison and does not constitute legal advice.</w:t>
      </w:r>
      <w:r>
        <w:t xml:space="preserve"> </w:t>
      </w:r>
      <w:r>
        <w:t xml:space="preserve">Procedures differ</w:t>
      </w:r>
      <w:r>
        <w:t xml:space="preserve"> </w:t>
      </w:r>
      <w:r>
        <w:t xml:space="preserve">with the sector, the contribution structure and the investor’s status; act on the advice</w:t>
      </w:r>
      <w:r>
        <w:t xml:space="preserve"> </w:t>
      </w:r>
      <w:r>
        <w:t xml:space="preserve">of a Vietnamese-qualified lawyer.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Keep statutory periods and real-world timings apart.</w:t>
      </w:r>
      <w:r>
        <w:t xml:space="preserve"> </w:t>
      </w:r>
      <w:r>
        <w:t xml:space="preserve">They are set out separately here;</w:t>
      </w:r>
      <w:r>
        <w:t xml:space="preserve"> </w:t>
      </w:r>
      <w:r>
        <w:t xml:space="preserve">when citing, do not treat an indicative estimate as a period enforceable against the</w:t>
      </w:r>
      <w:r>
        <w:t xml:space="preserve"> </w:t>
      </w:r>
      <w:r>
        <w:t xml:space="preserve">authority.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What this edition deliberately omits</w:t>
      </w:r>
      <w:r>
        <w:t xml:space="preserve">: any mandatory requirement as to the currency of</w:t>
      </w:r>
      <w:r>
        <w:t xml:space="preserve"> </w:t>
      </w:r>
      <w:r>
        <w:t xml:space="preserve">contributions, and any minimum lease term for the project location. Neither has been</w:t>
      </w:r>
      <w:r>
        <w:t xml:space="preserve"> </w:t>
      </w:r>
      <w:r>
        <w:t xml:space="preserve">verified against the primary legal text, and under this channel’s editorial rule</w:t>
      </w:r>
      <w:r>
        <w:t xml:space="preserve"> </w:t>
      </w:r>
      <w:r>
        <w:t xml:space="preserve">unverified content is left out.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These rules are time-sensitive.</w:t>
      </w:r>
      <w:r>
        <w:t xml:space="preserve"> </w:t>
      </w:r>
      <w:r>
        <w:t xml:space="preserve">Vietnam’s investment regime and administrative</w:t>
      </w:r>
      <w:r>
        <w:t xml:space="preserve"> </w:t>
      </w:r>
      <w:r>
        <w:t xml:space="preserve">machinery were adjusted frequently across 2025–2026; this note reflects the position as at</w:t>
      </w:r>
      <w:r>
        <w:t xml:space="preserve"> </w:t>
      </w:r>
      <w:r>
        <w:t xml:space="preserve">the verification date above.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This note contains no information relating to any particular company.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Vietnamese vs. Chinese Shareholders Establishing a Business in Vietnam — A Comparison (2026 Edition)</dc:title>
  <dc:creator/>
  <dc:language>en</dc:language>
  <cp:keywords/>
  <dcterms:created xsi:type="dcterms:W3CDTF">2026-10-31T05:14:36Z</dcterms:created>
  <dcterms:modified xsi:type="dcterms:W3CDTF">2026-10-31T05:14:36Z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