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 sánh nhà đầu tư Việt Nam và nhà đầu tư Trung Quốc khi thành lập doanh nghiệp tại Việt Nam (Bản 2026)</w:t>
      </w:r>
    </w:p>
    <w:bookmarkStart w:id="19" w:name="X80177362d2a1a997d4e8de7e801e7e001495dff"/>
    <w:p>
      <w:pPr>
        <w:pStyle w:val="Heading1"/>
      </w:pPr>
      <w:r>
        <w:t xml:space="preserve">SO SÁNH NHÀ ĐẦU TƯ VIỆT NAM VÀ NHÀ ĐẦU TƯ TRUNG QUỐC KHI THÀNH LẬP DOANH NGHIỆP TẠI VIỆT NAM</w:t>
      </w:r>
    </w:p>
    <w:p>
      <w:pPr>
        <w:pStyle w:val="FirstParagraph"/>
      </w:pPr>
      <w:r>
        <w:rPr>
          <w:b/>
          <w:bCs/>
        </w:rPr>
        <w:t xml:space="preserve">Bản 2026</w:t>
      </w:r>
    </w:p>
    <w:p>
      <w:pPr>
        <w:pStyle w:val="BodyText"/>
      </w:pPr>
      <w:r>
        <w:rPr>
          <w:b/>
          <w:bCs/>
        </w:rPr>
        <w:t xml:space="preserve">Ngày rà soát quy định pháp luật: 18/09/2026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Trước khi đọc, cần phân biệt hai loại mốc thời gian.</w:t>
      </w:r>
      <w:r>
        <w:t xml:space="preserve"> </w:t>
      </w:r>
      <w:r>
        <w:t xml:space="preserve">Các mốc thời gian trong tài liệu</w:t>
      </w:r>
      <w:r>
        <w:t xml:space="preserve"> </w:t>
      </w:r>
      <w:r>
        <w:t xml:space="preserve">này thuộc hai loại khác nhau: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Thời hạn luật định</w:t>
      </w:r>
      <w:r>
        <w:t xml:space="preserve"> </w:t>
      </w:r>
      <w:r>
        <w:t xml:space="preserve">— thời hạn được ghi trong văn bản pháp luật mà cơ quan có thẩm</w:t>
      </w:r>
      <w:r>
        <w:t xml:space="preserve"> </w:t>
      </w:r>
      <w:r>
        <w:t xml:space="preserve">quyền phải tuân thủ, có căn cứ điều khoản;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Thời gian thực tế tham khảo</w:t>
      </w:r>
      <w:r>
        <w:t xml:space="preserve"> </w:t>
      </w:r>
      <w:r>
        <w:t xml:space="preserve">— kinh nghiệm từ lúc nộp hồ sơ đến khi nhận được giấy,</w:t>
      </w:r>
      <w:r>
        <w:t xml:space="preserve"> </w:t>
      </w:r>
      <w:r>
        <w:rPr>
          <w:b/>
          <w:bCs/>
        </w:rPr>
        <w:t xml:space="preserve">phụ thuộc vào tỉnh/thành, khối lượng hồ sơ và yêu cầu bổ sung — không phải quy định của pháp luật</w:t>
      </w:r>
      <w:r>
        <w:t xml:space="preserve">.</w:t>
      </w:r>
    </w:p>
    <w:p>
      <w:pPr>
        <w:pStyle w:val="BlockText"/>
      </w:pPr>
      <w:r>
        <w:t xml:space="preserve">Bản gốc trộn lẫn hai loại này (ví dụ chỉ đưa ra</w:t>
      </w:r>
      <w:r>
        <w:t xml:space="preserve"> </w:t>
      </w:r>
      <w:r>
        <w:t xml:space="preserve">“30 đến 45 ngày làm việc”</w:t>
      </w:r>
      <w:r>
        <w:t xml:space="preserve"> </w:t>
      </w:r>
      <w:r>
        <w:t xml:space="preserve">mà không nói rõ</w:t>
      </w:r>
      <w:r>
        <w:t xml:space="preserve"> </w:t>
      </w:r>
      <w:r>
        <w:t xml:space="preserve">đó là ước tính), khiến người đọc dễ coi con số kinh nghiệm là quyền có thể yêu cầu.</w:t>
      </w:r>
      <w:r>
        <w:t xml:space="preserve"> </w:t>
      </w:r>
      <w:r>
        <w:t xml:space="preserve">Bản này</w:t>
      </w:r>
      <w:r>
        <w:t xml:space="preserve"> </w:t>
      </w:r>
      <w:r>
        <w:rPr>
          <w:b/>
          <w:bCs/>
        </w:rPr>
        <w:t xml:space="preserve">tách riêng từng dòng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9" w:name="i.-bảng-so-sánh-tổng-quát"/>
    <w:p>
      <w:pPr>
        <w:pStyle w:val="Heading2"/>
      </w:pPr>
      <w:r>
        <w:t xml:space="preserve">I. Bảng so sánh tổng quát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Tiêu chí</w:t>
            </w:r>
          </w:p>
        </w:tc>
        <w:tc>
          <w:tcPr/>
          <w:p>
            <w:pPr>
              <w:pStyle w:val="Compact"/>
            </w:pPr>
            <w:r>
              <w:t xml:space="preserve">Nhà đầu tư Việt Nam</w:t>
            </w:r>
          </w:p>
        </w:tc>
        <w:tc>
          <w:tcPr/>
          <w:p>
            <w:pPr>
              <w:pStyle w:val="Compact"/>
            </w:pPr>
            <w:r>
              <w:t xml:space="preserve">Nhà đầu tư Trung Quốc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Tư cách nhà đầu tư</w:t>
            </w:r>
          </w:p>
        </w:tc>
        <w:tc>
          <w:tcPr/>
          <w:p>
            <w:pPr>
              <w:pStyle w:val="Compact"/>
            </w:pPr>
            <w:r>
              <w:t xml:space="preserve">Không thuộc diện nhà đầu tư nước ngoài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Thuộc diện nhà đầu tư nước ngoài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Thủ tục thành lập</w:t>
            </w:r>
          </w:p>
        </w:tc>
        <w:tc>
          <w:tcPr/>
          <w:p>
            <w:pPr>
              <w:pStyle w:val="Compact"/>
            </w:pPr>
            <w:r>
              <w:t xml:space="preserve">Đăng ký doanh nghiệp trực tiếp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Phải xin Giấy chứng nhận đăng ký đầu tư (IRC) trước</w:t>
            </w:r>
            <w:r>
              <w:t xml:space="preserve">, sau đó mới làm Giấy chứng nhận đăng ký doanh nghiệp (ERC)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Cơ quan tiếp nhận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Phòng Đăng ký kinh doanh và Tài chính doanh nghiệp</w:t>
            </w:r>
            <w:r>
              <w:t xml:space="preserve"> </w:t>
            </w:r>
            <w:r>
              <w:t xml:space="preserve">thuộc Sở Tài chính</w:t>
            </w:r>
          </w:p>
        </w:tc>
        <w:tc>
          <w:tcPr/>
          <w:p>
            <w:pPr>
              <w:pStyle w:val="Compact"/>
            </w:pPr>
            <w:r>
              <w:t xml:space="preserve">Như bên trái; IRC do cơ quan đăng ký đầu tư cấp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Thời hạn luật định</w:t>
            </w:r>
          </w:p>
        </w:tc>
        <w:tc>
          <w:tcPr/>
          <w:p>
            <w:pPr>
              <w:pStyle w:val="Compact"/>
            </w:pPr>
            <w:r>
              <w:t xml:space="preserve">Đăng ký doanh nghiệp theo quy định của Luật Doanh nghiệp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IRC: trong 15 ngày</w:t>
            </w:r>
            <w:r>
              <w:t xml:space="preserve"> </w:t>
            </w:r>
            <w:r>
              <w:t xml:space="preserve">kể từ ngày nhận được hồ sơ hợp lệ (Điều 38 Luật Đầu tư, với dự án không thuộc diện chấp thuận chủ trương đầu tư)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Thời gian thực tế tham khảo</w:t>
            </w:r>
          </w:p>
        </w:tc>
        <w:tc>
          <w:tcPr/>
          <w:p>
            <w:pPr>
              <w:pStyle w:val="Compact"/>
            </w:pPr>
            <w:r>
              <w:t xml:space="preserve">Khoảng 5–7 ngày làm việc</w:t>
            </w:r>
          </w:p>
        </w:tc>
        <w:tc>
          <w:tcPr/>
          <w:p>
            <w:pPr>
              <w:pStyle w:val="Compact"/>
            </w:pPr>
            <w:r>
              <w:t xml:space="preserve">Khoảng 30–45 ngày làm việc (gồm cả hai giai đoạn IRC và ERC, cùng các bước hợp pháp hóa lãnh sự trước đó)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Tài khoản góp vốn</w:t>
            </w:r>
          </w:p>
        </w:tc>
        <w:tc>
          <w:tcPr/>
          <w:p>
            <w:pPr>
              <w:pStyle w:val="Compact"/>
            </w:pPr>
            <w:r>
              <w:t xml:space="preserve">Không bắt buộc mở tài khoản vốn đầu tư riêng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Phải góp vốn qua tài khoản vốn đầu tư trực tiếp (DICA)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Tiếp cận ngành nghề</w:t>
            </w:r>
          </w:p>
        </w:tc>
        <w:tc>
          <w:tcPr/>
          <w:p>
            <w:pPr>
              <w:pStyle w:val="Compact"/>
            </w:pPr>
            <w:r>
              <w:t xml:space="preserve">Không hạn chế</w:t>
            </w:r>
          </w:p>
        </w:tc>
        <w:tc>
          <w:tcPr/>
          <w:p>
            <w:pPr>
              <w:pStyle w:val="Compact"/>
            </w:pPr>
            <w:r>
              <w:t xml:space="preserve">Một số ngành hạn chế với nhà đầu tư nước ngoài hoặc phải được chấp thuận trước (logistics, giáo dục, fintech, thương mại điện tử, xuất bản…)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Hồ sơ pháp lý</w:t>
            </w:r>
          </w:p>
        </w:tc>
        <w:tc>
          <w:tcPr/>
          <w:p>
            <w:pPr>
              <w:pStyle w:val="Compact"/>
            </w:pPr>
            <w:r>
              <w:t xml:space="preserve">Giấy chứng nhận đăng ký doanh nghiệp, điều lệ, quyết định bổ nhiệm người đại diện theo pháp luật… (bản sao có chứng thực)</w:t>
            </w:r>
          </w:p>
        </w:tc>
        <w:tc>
          <w:tcPr/>
          <w:p>
            <w:pPr>
              <w:pStyle w:val="Compact"/>
            </w:pPr>
            <w:r>
              <w:t xml:space="preserve">Giấy phép kinh doanh, điều lệ, hộ chiếu người đại diện theo pháp luật, giấy ủy quyền…,</w:t>
            </w:r>
            <w:r>
              <w:t xml:space="preserve"> </w:t>
            </w:r>
            <w:r>
              <w:rPr>
                <w:b/>
                <w:bCs/>
              </w:rPr>
              <w:t xml:space="preserve">phải được hợp pháp hóa lãnh sự và dịch công chứng sang tiếng Việt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Loại tiền góp vốn</w:t>
            </w:r>
          </w:p>
        </w:tc>
        <w:tc>
          <w:tcPr/>
          <w:p>
            <w:pPr>
              <w:pStyle w:val="Compact"/>
            </w:pPr>
            <w:r>
              <w:t xml:space="preserve">Không bắt buộc, có thể góp bằng đồng Việt Nam</w:t>
            </w:r>
          </w:p>
        </w:tc>
        <w:tc>
          <w:tcPr/>
          <w:p>
            <w:pPr>
              <w:pStyle w:val="Compact"/>
            </w:pPr>
            <w:r>
              <w:t xml:space="preserve">Xem phần III dưới đây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Quản lý, giám sát</w:t>
            </w:r>
          </w:p>
        </w:tc>
        <w:tc>
          <w:tcPr/>
          <w:p>
            <w:pPr>
              <w:pStyle w:val="Compact"/>
            </w:pPr>
            <w:r>
              <w:t xml:space="preserve">Không có quản lý đặc thù</w:t>
            </w:r>
          </w:p>
        </w:tc>
        <w:tc>
          <w:tcPr/>
          <w:p>
            <w:pPr>
              <w:pStyle w:val="Compact"/>
            </w:pPr>
            <w:r>
              <w:t xml:space="preserve">Chịu sự điều chỉnh của Luật Đầu tư và các nghị định hướng dẫn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M&amp;A, tăng vốn</w:t>
            </w:r>
          </w:p>
        </w:tc>
        <w:tc>
          <w:tcPr/>
          <w:p>
            <w:pPr>
              <w:pStyle w:val="Compact"/>
            </w:pPr>
            <w:r>
              <w:t xml:space="preserve">Thủ tục đơn giản, xử lý nội bộ</w:t>
            </w:r>
          </w:p>
        </w:tc>
        <w:tc>
          <w:tcPr/>
          <w:p>
            <w:pPr>
              <w:pStyle w:val="Compact"/>
            </w:pPr>
            <w:r>
              <w:t xml:space="preserve">Phải điều chỉnh Giấy chứng nhận đăng ký đầu tư và báo cáo Sở Tài chính, Ngân hàng Nhà nước</w:t>
            </w:r>
          </w:p>
        </w:tc>
      </w:tr>
    </w:tbl>
    <w:p>
      <w:pPr>
        <w:pStyle w:val="BlockText"/>
      </w:pPr>
      <w:r>
        <w:rPr>
          <w:b/>
          <w:bCs/>
        </w:rPr>
        <w:t xml:space="preserve">Tên cơ quan tiếp nhận đã được cập nhật</w:t>
      </w:r>
      <w:r>
        <w:t xml:space="preserve">: trong đợt cải cách bộ máy năm 2025,</w:t>
      </w:r>
      <w:r>
        <w:t xml:space="preserve"> </w:t>
      </w:r>
      <w:r>
        <w:rPr>
          <w:b/>
          <w:bCs/>
        </w:rPr>
        <w:t xml:space="preserve">Sở Kế hoạch và Đầu tư đã hợp nhất vào Sở Tài chính</w:t>
      </w:r>
      <w:r>
        <w:t xml:space="preserve">; chức năng đăng ký kinh doanh</w:t>
      </w:r>
      <w:r>
        <w:t xml:space="preserve"> </w:t>
      </w:r>
      <w:r>
        <w:t xml:space="preserve">hiện do</w:t>
      </w:r>
      <w:r>
        <w:t xml:space="preserve"> </w:t>
      </w:r>
      <w:r>
        <w:rPr>
          <w:b/>
          <w:bCs/>
        </w:rPr>
        <w:t xml:space="preserve">Phòng Đăng ký kinh doanh và Tài chính doanh nghiệp</w:t>
      </w:r>
      <w:r>
        <w:t xml:space="preserve"> </w:t>
      </w:r>
      <w:r>
        <w:t xml:space="preserve">thuộc Sở Tài chính đảm nhiệm.</w:t>
      </w:r>
      <w:r>
        <w:t xml:space="preserve"> </w:t>
      </w:r>
      <w:r>
        <w:t xml:space="preserve">Bản gốc ghi</w:t>
      </w:r>
      <w:r>
        <w:t xml:space="preserve"> </w:t>
      </w:r>
      <w:r>
        <w:t xml:space="preserve">“đăng ký doanh nghiệp trực tiếp tại Sở Tài chính”</w:t>
      </w:r>
      <w:r>
        <w:t xml:space="preserve"> </w:t>
      </w:r>
      <w:r>
        <w:t xml:space="preserve">— hướng là đúng,</w:t>
      </w:r>
      <w:r>
        <w:t xml:space="preserve"> </w:t>
      </w:r>
      <w:r>
        <w:t xml:space="preserve">điều không thường thấy trong tài liệu tiếng Trung — nhưng chỉ dừng ở cấp Sở,</w:t>
      </w:r>
      <w:r>
        <w:t xml:space="preserve"> </w:t>
      </w:r>
      <w:r>
        <w:t xml:space="preserve">trong khi khi đi làm thủ tục cần biết phòng cụ thể.</w:t>
      </w:r>
    </w:p>
    <w:p>
      <w:pPr>
        <w:pStyle w:val="BlockText"/>
      </w:pPr>
      <w:r>
        <w:rPr>
          <w:b/>
          <w:bCs/>
        </w:rPr>
        <w:t xml:space="preserve">〔Chưa rà soát〕</w:t>
      </w:r>
      <w:r>
        <w:t xml:space="preserve"> </w:t>
      </w:r>
      <w:r>
        <w:t xml:space="preserve">nội dung cụ thể của những thay đổi thủ tục sau cải cách hành chính</w:t>
      </w:r>
      <w:r>
        <w:t xml:space="preserve"> </w:t>
      </w:r>
      <w:r>
        <w:t xml:space="preserve">ngày 01/7/2025 (khâu nào chuyển sang trực tuyến, có phân cấp xuống cơ sở hay không).</w:t>
      </w:r>
    </w:p>
    <w:p>
      <w:r>
        <w:pict>
          <v:rect style="width:0;height:1.5pt" o:hralign="center" o:hrstd="t" o:hr="t"/>
        </w:pict>
      </w:r>
    </w:p>
    <w:bookmarkEnd w:id="9"/>
    <w:bookmarkStart w:id="13" w:name="X7681a50721879180e70972c237797334149569a"/>
    <w:p>
      <w:pPr>
        <w:pStyle w:val="Heading2"/>
      </w:pPr>
      <w:r>
        <w:t xml:space="preserve">II. Yêu cầu cụ thể đối với nhà đầu tư Trung Quốc</w:t>
      </w:r>
    </w:p>
    <w:bookmarkStart w:id="10" w:name="xin-giấy-chứng-nhận-đăng-ký-đầu-tư-irc"/>
    <w:p>
      <w:pPr>
        <w:pStyle w:val="Heading3"/>
      </w:pPr>
      <w:r>
        <w:t xml:space="preserve">2.1. Xin Giấy chứng nhận đăng ký đầu tư (IRC)</w:t>
      </w:r>
    </w:p>
    <w:p>
      <w:pPr>
        <w:pStyle w:val="FirstParagraph"/>
      </w:pPr>
      <w:r>
        <w:t xml:space="preserve">Hồ sơ cần chuẩn bị:</w:t>
      </w:r>
    </w:p>
    <w:p>
      <w:pPr>
        <w:pStyle w:val="Compact"/>
        <w:numPr>
          <w:ilvl w:val="0"/>
          <w:numId w:val="1002"/>
        </w:numPr>
      </w:pPr>
      <w:r>
        <w:t xml:space="preserve">Đề xuất dự án đầu tư;</w:t>
      </w:r>
    </w:p>
    <w:p>
      <w:pPr>
        <w:pStyle w:val="Compact"/>
        <w:numPr>
          <w:ilvl w:val="0"/>
          <w:numId w:val="1002"/>
        </w:numPr>
      </w:pPr>
      <w:r>
        <w:t xml:space="preserve">Báo cáo năng lực tài chính (với nhà đầu tư là tổ chức);</w:t>
      </w:r>
    </w:p>
    <w:p>
      <w:pPr>
        <w:pStyle w:val="Compact"/>
        <w:numPr>
          <w:ilvl w:val="0"/>
          <w:numId w:val="1002"/>
        </w:numPr>
      </w:pPr>
      <w:r>
        <w:t xml:space="preserve">Điều lệ công ty mẹ (với nhà đầu tư là tổ chức);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Báo cáo tài chính hai năm gần nhất</w:t>
      </w:r>
      <w:r>
        <w:t xml:space="preserve"> </w:t>
      </w:r>
      <w:r>
        <w:t xml:space="preserve">(với nhà đầu tư là tổ chức);</w:t>
      </w:r>
    </w:p>
    <w:p>
      <w:pPr>
        <w:pStyle w:val="Compact"/>
        <w:numPr>
          <w:ilvl w:val="0"/>
          <w:numId w:val="1002"/>
        </w:numPr>
      </w:pPr>
      <w:r>
        <w:t xml:space="preserve">Hộ chiếu hoặc giấy tờ tùy thân của người đại diện được ủy quyền / người đại diện theo pháp luật;</w:t>
      </w:r>
    </w:p>
    <w:p>
      <w:pPr>
        <w:pStyle w:val="Compact"/>
        <w:numPr>
          <w:ilvl w:val="0"/>
          <w:numId w:val="1002"/>
        </w:numPr>
      </w:pPr>
      <w:r>
        <w:t xml:space="preserve">Giấy phép kinh doanh của công ty mẹ (với nhà đầu tư là tổ chức);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Toàn bộ tài liệu nêu trên phải được hợp pháp hóa lãnh sự và dịch công chứng.</w:t>
      </w:r>
    </w:p>
    <w:p>
      <w:pPr>
        <w:pStyle w:val="FirstParagraph"/>
      </w:pPr>
      <w:r>
        <w:rPr>
          <w:b/>
          <w:bCs/>
        </w:rPr>
        <w:t xml:space="preserve">Thời hạn luật định</w:t>
      </w:r>
      <w:r>
        <w:t xml:space="preserve">: theo</w:t>
      </w:r>
      <w:r>
        <w:t xml:space="preserve"> </w:t>
      </w:r>
      <w:r>
        <w:rPr>
          <w:b/>
          <w:bCs/>
        </w:rPr>
        <w:t xml:space="preserve">Điều 38 Luật Đầu tư 2020 (số 61/2020/QH14)</w:t>
      </w:r>
      <w:r>
        <w:t xml:space="preserve">,</w:t>
      </w:r>
      <w:r>
        <w:t xml:space="preserve"> </w:t>
      </w:r>
      <w:r>
        <w:t xml:space="preserve">với dự án đầu tư không thuộc diện chấp thuận chủ trương đầu tư, cơ quan đăng ký đầu tư</w:t>
      </w:r>
      <w:r>
        <w:t xml:space="preserve"> </w:t>
      </w:r>
      <w:r>
        <w:t xml:space="preserve">cấp IRC</w:t>
      </w:r>
      <w:r>
        <w:t xml:space="preserve"> </w:t>
      </w:r>
      <w:r>
        <w:rPr>
          <w:b/>
          <w:bCs/>
        </w:rPr>
        <w:t xml:space="preserve">trong thời hạn 15 ngày</w:t>
      </w:r>
      <w:r>
        <w:t xml:space="preserve"> </w:t>
      </w:r>
      <w:r>
        <w:t xml:space="preserve">kể từ ngày nhận được đề nghị của nhà đầu tư.</w:t>
      </w:r>
    </w:p>
    <w:p>
      <w:pPr>
        <w:pStyle w:val="BlockText"/>
      </w:pPr>
      <w:r>
        <w:rPr>
          <w:b/>
          <w:bCs/>
        </w:rPr>
        <w:t xml:space="preserve">Trên thực tế thời gian thường dài hơn thời hạn luật định</w:t>
      </w:r>
      <w:r>
        <w:t xml:space="preserve">, do khối lượng hồ sơ ở từng</w:t>
      </w:r>
      <w:r>
        <w:t xml:space="preserve"> </w:t>
      </w:r>
      <w:r>
        <w:t xml:space="preserve">tỉnh/thành, yêu cầu bổ sung hồ sơ, và bản thân việc hợp pháp hóa lãnh sự, dịch công chứng</w:t>
      </w:r>
      <w:r>
        <w:t xml:space="preserve"> </w:t>
      </w:r>
      <w:r>
        <w:t xml:space="preserve">tài liệu nước ngoài cũng mất thời gian —</w:t>
      </w:r>
      <w:r>
        <w:t xml:space="preserve"> </w:t>
      </w:r>
      <w:r>
        <w:rPr>
          <w:b/>
          <w:bCs/>
        </w:rPr>
        <w:t xml:space="preserve">các bước này diễn ra trước khi nộp hồ sơ</w:t>
      </w:r>
      <w:r>
        <w:rPr>
          <w:b/>
          <w:bCs/>
        </w:rPr>
        <w:t xml:space="preserve"> </w:t>
      </w:r>
      <w:r>
        <w:rPr>
          <w:b/>
          <w:bCs/>
        </w:rPr>
        <w:t xml:space="preserve">và không nằm trong 15 ngày</w:t>
      </w:r>
      <w:r>
        <w:t xml:space="preserve">. Khi lập kế hoạch thời gian, cần tính riêng phần chuẩn bị.</w:t>
      </w:r>
    </w:p>
    <w:bookmarkEnd w:id="10"/>
    <w:bookmarkStart w:id="11" w:name="mở-tài-khoản-vốn-đầu-tư-trực-tiếp-dica"/>
    <w:p>
      <w:pPr>
        <w:pStyle w:val="Heading3"/>
      </w:pPr>
      <w:r>
        <w:t xml:space="preserve">2.2. Mở tài khoản vốn đầu tư trực tiếp (DICA)</w:t>
      </w:r>
    </w:p>
    <w:p>
      <w:pPr>
        <w:pStyle w:val="Compact"/>
        <w:numPr>
          <w:ilvl w:val="0"/>
          <w:numId w:val="1003"/>
        </w:numPr>
      </w:pPr>
      <w:r>
        <w:t xml:space="preserve">Mở tại ngân hàng thương mại ở Việt Nam;</w:t>
      </w:r>
    </w:p>
    <w:p>
      <w:pPr>
        <w:pStyle w:val="Compact"/>
        <w:numPr>
          <w:ilvl w:val="0"/>
          <w:numId w:val="1003"/>
        </w:numPr>
      </w:pPr>
      <w:r>
        <w:t xml:space="preserve">Dùng để nhận vốn đầu tư và chuyển lợi nhuận ra nước ngoài;</w:t>
      </w:r>
    </w:p>
    <w:p>
      <w:pPr>
        <w:pStyle w:val="Compact"/>
        <w:numPr>
          <w:ilvl w:val="0"/>
          <w:numId w:val="1003"/>
        </w:numPr>
      </w:pPr>
      <w:r>
        <w:t xml:space="preserve">Căn cứ:</w:t>
      </w:r>
      <w:r>
        <w:t xml:space="preserve"> </w:t>
      </w:r>
      <w:r>
        <w:rPr>
          <w:b/>
          <w:bCs/>
        </w:rPr>
        <w:t xml:space="preserve">Thông tư 06/2019/TT-NHNN</w:t>
      </w:r>
      <w:r>
        <w:t xml:space="preserve"> </w:t>
      </w:r>
      <w:r>
        <w:t xml:space="preserve">(Ngân hàng Nhà nước),</w:t>
      </w:r>
      <w:r>
        <w:t xml:space="preserve"> </w:t>
      </w:r>
      <w:r>
        <w:rPr>
          <w:b/>
          <w:bCs/>
        </w:rPr>
        <w:t xml:space="preserve">hiệu lực 06/9/2019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Thông tư này đồng thời điều chỉnh việc góp vốn, mở và sử dụng DICA,</w:t>
      </w:r>
      <w:r>
        <w:t xml:space="preserve"> </w:t>
      </w:r>
      <w:r>
        <w:t xml:space="preserve">chuyển vốn và lợi nhuận ra nước ngoài, chuyển nhượng vốn đầu tư và dự án đầu tư.</w:t>
      </w:r>
    </w:p>
    <w:bookmarkEnd w:id="11"/>
    <w:bookmarkStart w:id="12" w:name="hạn-chế-tiếp-cận-ngành-nghề"/>
    <w:p>
      <w:pPr>
        <w:pStyle w:val="Heading3"/>
      </w:pPr>
      <w:r>
        <w:t xml:space="preserve">2.3. Hạn chế tiếp cận ngành nghề</w:t>
      </w:r>
    </w:p>
    <w:p>
      <w:pPr>
        <w:pStyle w:val="FirstParagraph"/>
      </w:pPr>
      <w:r>
        <w:t xml:space="preserve">Nếu hoạt động trong ngành nghề có điều kiện tiếp cận thị trường đối với nhà đầu tư nước ngoài</w:t>
      </w:r>
      <w:r>
        <w:t xml:space="preserve"> </w:t>
      </w:r>
      <w:r>
        <w:t xml:space="preserve">(theo cam kết WTO, CPTPP hoặc Luật Đầu tư), có thể bị hạn chế tỷ lệ góp vốn</w:t>
      </w:r>
      <w:r>
        <w:t xml:space="preserve"> </w:t>
      </w:r>
      <w:r>
        <w:t xml:space="preserve">hoặc phải hoạt động dưới hình thức liên doanh.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X61f4a536aa086386ecda28cb4b02af268b9d15c"/>
    <w:p>
      <w:pPr>
        <w:pStyle w:val="Heading2"/>
      </w:pPr>
      <w:r>
        <w:t xml:space="preserve">III. Về loại tiền góp vốn — vì sao bản này không chép lại cách nói của bản gốc</w:t>
      </w:r>
    </w:p>
    <w:p>
      <w:pPr>
        <w:pStyle w:val="FirstParagraph"/>
      </w:pPr>
      <w:r>
        <w:t xml:space="preserve">Bản gốc, ở phần</w:t>
      </w:r>
      <w:r>
        <w:t xml:space="preserve"> </w:t>
      </w:r>
      <w:r>
        <w:t xml:space="preserve">“lưu ý khác”</w:t>
      </w:r>
      <w:r>
        <w:t xml:space="preserve">, ghi:</w:t>
      </w:r>
    </w:p>
    <w:p>
      <w:pPr>
        <w:pStyle w:val="BlockText"/>
      </w:pPr>
      <w:r>
        <w:t xml:space="preserve">“Có được góp vốn bằng nhân dân tệ không? —</w:t>
      </w:r>
      <w:r>
        <w:t xml:space="preserve"> </w:t>
      </w:r>
      <w:r>
        <w:rPr>
          <w:b/>
          <w:bCs/>
        </w:rPr>
        <w:t xml:space="preserve">Không. Chỉ được góp bằng ngoại tệ tự do</w:t>
      </w:r>
      <w:r>
        <w:rPr>
          <w:b/>
          <w:bCs/>
        </w:rPr>
        <w:t xml:space="preserve"> </w:t>
      </w:r>
      <w:r>
        <w:rPr>
          <w:b/>
          <w:bCs/>
        </w:rPr>
        <w:t xml:space="preserve">chuyển đổi như USD, EUR.</w:t>
      </w:r>
      <w:r>
        <w:t xml:space="preserve">”</w:t>
      </w:r>
      <w:r>
        <w:t xml:space="preserve"> </w:t>
      </w:r>
      <w:r>
        <w:t xml:space="preserve">và</w:t>
      </w:r>
      <w:r>
        <w:t xml:space="preserve"> </w:t>
      </w:r>
      <w:r>
        <w:t xml:space="preserve">“Góp vốn bằng ngoại tệ:</w:t>
      </w:r>
      <w:r>
        <w:t xml:space="preserve"> </w:t>
      </w:r>
      <w:r>
        <w:rPr>
          <w:b/>
          <w:bCs/>
        </w:rPr>
        <w:t xml:space="preserve">bắt buộc</w:t>
      </w:r>
      <w:r>
        <w:t xml:space="preserve"> </w:t>
      </w:r>
      <w:r>
        <w:t xml:space="preserve">chuyển ngoại tệ</w:t>
      </w:r>
      <w:r>
        <w:t xml:space="preserve"> </w:t>
      </w:r>
      <w:r>
        <w:t xml:space="preserve">từ tài khoản ở nước ngoài vào DICA để góp vốn”</w:t>
      </w:r>
      <w:r>
        <w:t xml:space="preserve">.</w:t>
      </w:r>
    </w:p>
    <w:p>
      <w:pPr>
        <w:pStyle w:val="FirstParagraph"/>
      </w:pPr>
      <w:r>
        <w:t xml:space="preserve">Tuy nhiên</w:t>
      </w:r>
      <w:r>
        <w:t xml:space="preserve"> </w:t>
      </w:r>
      <w:r>
        <w:rPr>
          <w:b/>
          <w:bCs/>
        </w:rPr>
        <w:t xml:space="preserve">Thông tư 06/2019/TT-NHNN</w:t>
      </w:r>
      <w:r>
        <w:t xml:space="preserve"> </w:t>
      </w:r>
      <w:r>
        <w:t xml:space="preserve">quy định rõ: DICA</w:t>
      </w:r>
      <w:r>
        <w:t xml:space="preserve"> </w:t>
      </w:r>
      <w:r>
        <w:rPr>
          <w:b/>
          <w:bCs/>
        </w:rPr>
        <w:t xml:space="preserve">có thể là tài khoản ngoại tệ,</w:t>
      </w:r>
      <w:r>
        <w:rPr>
          <w:b/>
          <w:bCs/>
        </w:rPr>
        <w:t xml:space="preserve"> </w:t>
      </w:r>
      <w:r>
        <w:rPr>
          <w:b/>
          <w:bCs/>
        </w:rPr>
        <w:t xml:space="preserve">cũng có thể là tài khoản đồng Việt Nam</w:t>
      </w:r>
      <w:r>
        <w:t xml:space="preserve">.</w:t>
      </w:r>
    </w:p>
    <w:p>
      <w:pPr>
        <w:pStyle w:val="BodyText"/>
      </w:pPr>
      <w:r>
        <w:t xml:space="preserve">Giữa hai nội dung này có độ vênh. Bản này</w:t>
      </w:r>
      <w:r>
        <w:t xml:space="preserve"> </w:t>
      </w:r>
      <w:r>
        <w:rPr>
          <w:b/>
          <w:bCs/>
        </w:rPr>
        <w:t xml:space="preserve">không chép lại cách nói của bản gốc,</w:t>
      </w:r>
      <w:r>
        <w:rPr>
          <w:b/>
          <w:bCs/>
        </w:rPr>
        <w:t xml:space="preserve"> </w:t>
      </w:r>
      <w:r>
        <w:rPr>
          <w:b/>
          <w:bCs/>
        </w:rPr>
        <w:t xml:space="preserve">cũng không kết luận rằng nó sai</w:t>
      </w:r>
      <w:r>
        <w:t xml:space="preserve"> </w:t>
      </w:r>
      <w:r>
        <w:t xml:space="preserve">— vì chưa rà soát tới điều khoản gốc của thông tư</w:t>
      </w:r>
      <w:r>
        <w:t xml:space="preserve"> </w:t>
      </w:r>
      <w:r>
        <w:t xml:space="preserve">về</w:t>
      </w:r>
      <w:r>
        <w:t xml:space="preserve"> </w:t>
      </w:r>
      <w:r>
        <w:rPr>
          <w:b/>
          <w:bCs/>
        </w:rPr>
        <w:t xml:space="preserve">loại tiền được phép góp vốn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Cách viết của bản này</w:t>
      </w:r>
      <w:r>
        <w:t xml:space="preserve">: theo Thông tư 06/2019, DICA có thể bằng ngoại tệ hoặc đồng Việt Nam;</w:t>
      </w:r>
      <w:r>
        <w:t xml:space="preserve"> </w:t>
      </w:r>
      <w:r>
        <w:rPr>
          <w:b/>
          <w:bCs/>
        </w:rPr>
        <w:t xml:space="preserve">loại tiền được sử dụng cho một lần góp vốn cụ thể, vui lòng xác nhận với ngân hàng mở tài khoản</w:t>
      </w:r>
      <w:r>
        <w:rPr>
          <w:b/>
          <w:bCs/>
        </w:rPr>
        <w:t xml:space="preserve"> </w:t>
      </w:r>
      <w:r>
        <w:rPr>
          <w:b/>
          <w:bCs/>
        </w:rPr>
        <w:t xml:space="preserve">và chuyên gia tư vấn hành nghề</w:t>
      </w:r>
      <w:r>
        <w:t xml:space="preserve">.</w:t>
      </w:r>
    </w:p>
    <w:p>
      <w:pPr>
        <w:pStyle w:val="BlockText"/>
      </w:pPr>
      <w:r>
        <w:t xml:space="preserve">Đây là cách xử lý tiêu chuẩn của chuyên mục khi chứng cứ chưa đủ: nêu nội dung đã kiểm chứng,</w:t>
      </w:r>
      <w:r>
        <w:t xml:space="preserve"> </w:t>
      </w:r>
      <w:r>
        <w:t xml:space="preserve">chỉ rõ chỗ chưa kiểm chứng, và để việc phán đoán cho người có điều kiện kiểm chứng,</w:t>
      </w:r>
      <w:r>
        <w:t xml:space="preserve"> </w:t>
      </w:r>
      <w:r>
        <w:t xml:space="preserve">thay vì chọn cách nói nghe có vẻ chắc chắn hơn trong hai cách nói.</w:t>
      </w:r>
    </w:p>
    <w:p>
      <w:r>
        <w:pict>
          <v:rect style="width:0;height:1.5pt" o:hralign="center" o:hrstd="t" o:hr="t"/>
        </w:pict>
      </w:r>
    </w:p>
    <w:bookmarkEnd w:id="14"/>
    <w:bookmarkStart w:id="15" w:name="iv.-yêu-cầu-đối-với-nhà-đầu-tư-việt-nam"/>
    <w:p>
      <w:pPr>
        <w:pStyle w:val="Heading2"/>
      </w:pPr>
      <w:r>
        <w:t xml:space="preserve">IV. Yêu cầu đối với nhà đầu tư Việt Nam</w:t>
      </w:r>
    </w:p>
    <w:p>
      <w:pPr>
        <w:pStyle w:val="Compact"/>
        <w:numPr>
          <w:ilvl w:val="0"/>
          <w:numId w:val="1004"/>
        </w:numPr>
      </w:pPr>
      <w:r>
        <w:t xml:space="preserve">Cung cấp Giấy chứng nhận đăng ký doanh nghiệp và điều lệ công ty (với cổ đông là tổ chức);</w:t>
      </w:r>
    </w:p>
    <w:p>
      <w:pPr>
        <w:pStyle w:val="Compact"/>
        <w:numPr>
          <w:ilvl w:val="0"/>
          <w:numId w:val="1004"/>
        </w:numPr>
      </w:pPr>
      <w:r>
        <w:t xml:space="preserve">Nghị quyết và biên bản họp về việc góp vốn;</w:t>
      </w:r>
    </w:p>
    <w:p>
      <w:pPr>
        <w:pStyle w:val="Compact"/>
        <w:numPr>
          <w:ilvl w:val="0"/>
          <w:numId w:val="1004"/>
        </w:numPr>
      </w:pPr>
      <w:r>
        <w:t xml:space="preserve">Giấy ủy quyền nộp hồ sơ;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Không cần</w:t>
      </w:r>
      <w:r>
        <w:t xml:space="preserve"> </w:t>
      </w:r>
      <w:r>
        <w:t xml:space="preserve">hợp pháp hóa lãnh sự hoặc chứng minh nguồn vốn từ nước ngoài;</w:t>
      </w:r>
    </w:p>
    <w:p>
      <w:pPr>
        <w:pStyle w:val="Compact"/>
        <w:numPr>
          <w:ilvl w:val="0"/>
          <w:numId w:val="1004"/>
        </w:numPr>
      </w:pPr>
      <w:r>
        <w:t xml:space="preserve">Có thể góp vốn bằng tiền mặt (trừ tổ chức) hoặc chuyển khoản trong nước.</w:t>
      </w:r>
    </w:p>
    <w:p>
      <w:r>
        <w:pict>
          <v:rect style="width:0;height:1.5pt" o:hralign="center" o:hrstd="t" o:hr="t"/>
        </w:pict>
      </w:r>
    </w:p>
    <w:bookmarkEnd w:id="15"/>
    <w:bookmarkStart w:id="16" w:name="v.-một-số-câu-hỏi-thường-gặp"/>
    <w:p>
      <w:pPr>
        <w:pStyle w:val="Heading2"/>
      </w:pPr>
      <w:r>
        <w:t xml:space="preserve">V. Một số câu hỏi thường gặp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Câu hỏi</w:t>
            </w:r>
          </w:p>
        </w:tc>
        <w:tc>
          <w:tcPr/>
          <w:p>
            <w:pPr>
              <w:pStyle w:val="Compact"/>
            </w:pPr>
            <w:r>
              <w:t xml:space="preserve">Nội dung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Địa điểm thực hiện dự án có yêu cầu gì?</w:t>
            </w:r>
          </w:p>
        </w:tc>
        <w:tc>
          <w:tcPr/>
          <w:p>
            <w:pPr>
              <w:pStyle w:val="Compact"/>
            </w:pPr>
            <w:r>
              <w:t xml:space="preserve">Phải phù hợp quy hoạch. Bản gốc còn nêu</w:t>
            </w:r>
            <w:r>
              <w:t xml:space="preserve"> </w:t>
            </w:r>
            <w:r>
              <w:t xml:space="preserve">“phải có hợp đồng thuê không dưới 6 tháng”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rPr>
                <w:b/>
                <w:bCs/>
              </w:rPr>
              <w:t xml:space="preserve">yêu cầu này chưa rà soát được căn cứ pháp lý, nên bản này không liệt kê như một yêu cầu chắc chắn</w:t>
            </w:r>
            <w:r>
              <w:t xml:space="preserve">. Khi làm thủ tục, vui lòng theo yêu cầu của cơ quan tiếp nhận.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Người đại diện theo pháp luật có bắt buộc là người Việt Nam không?</w:t>
            </w:r>
          </w:p>
        </w:tc>
        <w:tc>
          <w:tcPr/>
          <w:p>
            <w:pPr>
              <w:pStyle w:val="Compact"/>
            </w:pPr>
            <w:r>
              <w:t xml:space="preserve">Không bắt buộc, chỉ cần cư trú hợp pháp tại Việt Nam.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Chứng minh năng lực tài chính bằng cách nào?</w:t>
            </w:r>
          </w:p>
        </w:tc>
        <w:tc>
          <w:tcPr/>
          <w:p>
            <w:pPr>
              <w:pStyle w:val="Compact"/>
            </w:pPr>
            <w:r>
              <w:t xml:space="preserve">Nhà đầu tư là tổ chức thường phải nộp báo cáo tài chính hoặc thư cam kết hỗ trợ vốn.</w:t>
            </w:r>
          </w:p>
        </w:tc>
      </w:tr>
    </w:tbl>
    <w:p>
      <w:pPr>
        <w:pStyle w:val="BlockText"/>
      </w:pPr>
      <w:r>
        <w:rPr>
          <w:b/>
          <w:bCs/>
        </w:rPr>
        <w:t xml:space="preserve">Bản tiếng Anh của tài liệu gốc có một lỗi bảng ở phần này</w:t>
      </w:r>
      <w:r>
        <w:t xml:space="preserve">: hai dòng cuối đều ghi câu hỏi</w:t>
      </w:r>
      <w:r>
        <w:t xml:space="preserve"> </w:t>
      </w:r>
      <w:r>
        <w:t xml:space="preserve">“Is the legal representative required to be Vietnamese?”</w:t>
      </w:r>
      <w:r>
        <w:t xml:space="preserve">, nhưng câu trả lời của dòng thứ hai</w:t>
      </w:r>
      <w:r>
        <w:t xml:space="preserve"> </w:t>
      </w:r>
      <w:r>
        <w:t xml:space="preserve">là</w:t>
      </w:r>
      <w:r>
        <w:t xml:space="preserve"> </w:t>
      </w:r>
      <w:r>
        <w:t xml:space="preserve">“Mandatory: financial statements or a capital support commitment letter”</w:t>
      </w:r>
      <w:r>
        <w:t xml:space="preserve"> </w:t>
      </w:r>
      <w:r>
        <w:t xml:space="preserve">—</w:t>
      </w:r>
      <w:r>
        <w:t xml:space="preserve"> </w:t>
      </w:r>
      <w:r>
        <w:t xml:space="preserve">đó là câu trả lời cho</w:t>
      </w:r>
      <w:r>
        <w:t xml:space="preserve"> </w:t>
      </w:r>
      <w:r>
        <w:rPr>
          <w:b/>
          <w:bCs/>
        </w:rPr>
        <w:t xml:space="preserve">việc chứng minh năng lực tài chính</w:t>
      </w:r>
      <w:r>
        <w:t xml:space="preserve">, bị ghép nhầm sang câu hỏi</w:t>
      </w:r>
      <w:r>
        <w:t xml:space="preserve"> </w:t>
      </w:r>
      <w:r>
        <w:t xml:space="preserve">về quốc tịch của người đại diện theo pháp luật. Bản tiếng Trung ở chỗ này đúng.</w:t>
      </w:r>
      <w:r>
        <w:t xml:space="preserve"> </w:t>
      </w:r>
      <w:r>
        <w:t xml:space="preserve">Bản này đã thống nhất sửa cho cả ba ngôn ngữ.</w:t>
      </w:r>
    </w:p>
    <w:p>
      <w:r>
        <w:pict>
          <v:rect style="width:0;height:1.5pt" o:hralign="center" o:hrstd="t" o:hr="t"/>
        </w:pict>
      </w:r>
    </w:p>
    <w:bookmarkEnd w:id="16"/>
    <w:bookmarkStart w:id="17" w:name="vi.-căn-cứ-pháp-lý-được-dẫn-chiếu"/>
    <w:p>
      <w:pPr>
        <w:pStyle w:val="Heading2"/>
      </w:pPr>
      <w:r>
        <w:t xml:space="preserve">VI. Căn cứ pháp lý được dẫn chiếu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Chủ đề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Sự cần thiết và thời hạn cấp IRC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38 Luật Đầu tư số 61/2020/QH14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ngày</w:t>
            </w:r>
            <w:r>
              <w:t xml:space="preserve"> </w:t>
            </w:r>
            <w:r>
              <w:t xml:space="preserve">kể từ ngày nhận hồ sơ hợp lệ với dự án không thuộc diện chấp thuận chủ trương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Yêu cầu IRC với hình thức hợp tác kinh doanh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27</w:t>
            </w:r>
            <w:r>
              <w:t xml:space="preserve"> </w:t>
            </w:r>
            <w:r>
              <w:t xml:space="preserve">cùng Luật</w:t>
            </w:r>
          </w:p>
        </w:tc>
        <w:tc>
          <w:tcPr/>
          <w:p>
            <w:pPr>
              <w:pStyle w:val="Compact"/>
            </w:pPr>
            <w:r>
              <w:t xml:space="preserve">Giữa các nhà đầu tư trong nước không cần IRC; có nhà đầu tư nước ngoài thì bắt buộc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tư 06/2019/TT-NHNN</w:t>
            </w:r>
          </w:p>
        </w:tc>
        <w:tc>
          <w:tcPr/>
          <w:p>
            <w:pPr>
              <w:pStyle w:val="Compact"/>
            </w:pPr>
            <w:r>
              <w:t xml:space="preserve">Hiệu lực 06/9/2019; tài khoản ngoại tệ hoặc VNĐ; doanh nghiệp FDI và nhà đầu tư nước ngoài bắt buộc mở</w:t>
            </w:r>
          </w:p>
        </w:tc>
      </w:tr>
      <w:tr>
        <w:tc>
          <w:tcPr/>
          <w:p>
            <w:pPr>
              <w:pStyle w:val="Compact"/>
            </w:pPr>
            <w:r>
              <w:t xml:space="preserve">Cơ quan đăng ký doanh nghiệp</w:t>
            </w:r>
          </w:p>
        </w:tc>
        <w:tc>
          <w:tcPr/>
          <w:p>
            <w:pPr>
              <w:pStyle w:val="Compact"/>
            </w:pPr>
            <w:r>
              <w:t xml:space="preserve">Cải cách bộ máy 2025</w:t>
            </w:r>
          </w:p>
        </w:tc>
        <w:tc>
          <w:tcPr/>
          <w:p>
            <w:pPr>
              <w:pStyle w:val="Compact"/>
            </w:pPr>
            <w:r>
              <w:t xml:space="preserve">Sở KH&amp;ĐT hợp nhất vào Sở Tài chính; do</w:t>
            </w:r>
            <w:r>
              <w:t xml:space="preserve"> </w:t>
            </w:r>
            <w:r>
              <w:rPr>
                <w:b/>
                <w:bCs/>
              </w:rPr>
              <w:t xml:space="preserve">Phòng Đăng ký kinh doanh và Tài chính doanh nghiệp</w:t>
            </w:r>
            <w:r>
              <w:t xml:space="preserve"> </w:t>
            </w:r>
            <w:r>
              <w:t xml:space="preserve">đảm nhiệm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vii.-hướng-dẫn-sử-dụng-và-lưu-ý-rủi-ro"/>
    <w:p>
      <w:pPr>
        <w:pStyle w:val="Heading2"/>
      </w:pPr>
      <w:r>
        <w:t xml:space="preserve">VII. Hướng dẫn sử dụng và lưu ý rủi ro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Đây là tài liệu so sánh mang tính tham khảo chung, không phải ý kiến pháp lý.</w:t>
      </w:r>
      <w:r>
        <w:t xml:space="preserve"> </w:t>
      </w:r>
      <w:r>
        <w:t xml:space="preserve">Ngành nghề, cơ cấu góp vốn và tư cách nhà đầu tư của từng trường hợp khác nhau</w:t>
      </w:r>
      <w:r>
        <w:t xml:space="preserve"> </w:t>
      </w:r>
      <w:r>
        <w:t xml:space="preserve">thì thủ tục cũng khác nhau; vui lòng thực hiện theo ý kiến của luật sư hành nghề tại Việt Nam.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Phân biệt thời hạn luật định với thời gian thực tế.</w:t>
      </w:r>
      <w:r>
        <w:t xml:space="preserve"> </w:t>
      </w:r>
      <w:r>
        <w:t xml:space="preserve">Tài liệu này đã tách riêng;</w:t>
      </w:r>
      <w:r>
        <w:t xml:space="preserve"> </w:t>
      </w:r>
      <w:r>
        <w:t xml:space="preserve">khi trích dẫn, đừng coi con số ước tính thực tế là thời hạn có thể yêu cầu cơ quan</w:t>
      </w:r>
      <w:r>
        <w:t xml:space="preserve"> </w:t>
      </w:r>
      <w:r>
        <w:t xml:space="preserve">có thẩm quyền thực hiện.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Những nội dung bản này cố ý không viết</w:t>
      </w:r>
      <w:r>
        <w:t xml:space="preserve">: yêu cầu bắt buộc về loại tiền góp vốn,</w:t>
      </w:r>
      <w:r>
        <w:t xml:space="preserve"> </w:t>
      </w:r>
      <w:r>
        <w:t xml:space="preserve">và yêu cầu thời hạn thuê tối thiểu đối với địa điểm thực hiện dự án.</w:t>
      </w:r>
      <w:r>
        <w:t xml:space="preserve"> </w:t>
      </w:r>
      <w:r>
        <w:t xml:space="preserve">Hai nội dung này chưa rà soát được tới văn bản gốc; theo nguyên tắc biên tập của chuyên mục,</w:t>
      </w:r>
      <w:r>
        <w:t xml:space="preserve"> </w:t>
      </w:r>
      <w:r>
        <w:t xml:space="preserve">nội dung chưa kiểm chứng thì không viết.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Quy định pháp luật có tính thời điểm.</w:t>
      </w:r>
      <w:r>
        <w:t xml:space="preserve"> </w:t>
      </w:r>
      <w:r>
        <w:t xml:space="preserve">Giai đoạn 2025–2026, chế độ quản lý đầu tư</w:t>
      </w:r>
      <w:r>
        <w:t xml:space="preserve"> </w:t>
      </w:r>
      <w:r>
        <w:t xml:space="preserve">và bộ máy hành chính của Việt Nam được điều chỉnh với tần suất cao;</w:t>
      </w:r>
      <w:r>
        <w:t xml:space="preserve"> </w:t>
      </w:r>
      <w:r>
        <w:t xml:space="preserve">tài liệu này phản ánh quy định hiện hành tính đến ngày rà soát nêu trên.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Tài liệu này không chứa thông tin của bất kỳ doanh nghiệp cụ thể nào.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 sánh nhà đầu tư Việt Nam và nhà đầu tư Trung Quốc khi thành lập doanh nghiệp tại Việt Nam (Bản 2026)</dc:title>
  <dc:creator/>
  <dc:language>vi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