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Vietnam’s 2026 Tax and Employment Changes — What Actually Changed</w:t>
      </w:r>
    </w:p>
    <w:bookmarkStart w:id="24" w:name="X0f5d137b2b5a151f4953a4000bee1c647ad66a1"/>
    <w:p>
      <w:pPr>
        <w:pStyle w:val="Heading1"/>
      </w:pPr>
      <w:r>
        <w:t xml:space="preserve">VIETNAM’S 2026 TAX AND EMPLOYMENT CHANGES — WHAT ACTUALLY CHANGED</w:t>
      </w:r>
    </w:p>
    <w:p>
      <w:pPr>
        <w:pStyle w:val="FirstParagraph"/>
      </w:pPr>
      <w:r>
        <w:rPr>
          <w:b/>
          <w:bCs/>
        </w:rPr>
        <w:t xml:space="preserve">2026 Edition</w:t>
      </w:r>
    </w:p>
    <w:p>
      <w:pPr>
        <w:pStyle w:val="BodyText"/>
      </w:pPr>
      <w:r>
        <w:rPr>
          <w:b/>
          <w:bCs/>
        </w:rPr>
        <w:t xml:space="preserve">Legal verification date: 18 September 2026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rPr>
          <w:b/>
          <w:bCs/>
        </w:rPr>
        <w:t xml:space="preserve">Why this document exists.</w:t>
      </w:r>
      <w:r>
        <w:t xml:space="preserve"> </w:t>
      </w:r>
      <w:r>
        <w:t xml:space="preserve">Across the twenty-four months of 2025–2026 Vietnam amended</w:t>
      </w:r>
      <w:r>
        <w:t xml:space="preserve"> </w:t>
      </w:r>
      <w:r>
        <w:t xml:space="preserve">the Law on Corporate Income Tax, the Law on Personal Income Tax, VAT rates, the revenue</w:t>
      </w:r>
      <w:r>
        <w:t xml:space="preserve"> </w:t>
      </w:r>
      <w:r>
        <w:t xml:space="preserve">threshold for business households, the social insurance contribution base and regional</w:t>
      </w:r>
      <w:r>
        <w:t xml:space="preserve"> </w:t>
      </w:r>
      <w:r>
        <w:t xml:space="preserve">minimum wages — and abolished a levy that had stood for nearly sixty years while merging</w:t>
      </w:r>
      <w:r>
        <w:t xml:space="preserve"> </w:t>
      </w:r>
      <w:r>
        <w:t xml:space="preserve">the Department of Planning and Investment into the Department of Finance.</w:t>
      </w:r>
    </w:p>
    <w:p>
      <w:pPr>
        <w:pStyle w:val="BlockText"/>
      </w:pPr>
      <w:r>
        <w:rPr>
          <w:b/>
          <w:bCs/>
        </w:rPr>
        <w:t xml:space="preserve">The changes sit in more than a dozen instruments with different effective dates</w:t>
      </w:r>
      <w:r>
        <w:t xml:space="preserve"> </w:t>
      </w:r>
      <w:r>
        <w:t xml:space="preserve">— some</w:t>
      </w:r>
      <w:r>
        <w:t xml:space="preserve"> </w:t>
      </w:r>
      <w:r>
        <w:t xml:space="preserve">from 1 October 2025, some 1 January 2026, some 1 July 2026, and one that</w:t>
      </w:r>
      <w:r>
        <w:t xml:space="preserve"> </w:t>
      </w:r>
      <w:r>
        <w:rPr>
          <w:b/>
          <w:bCs/>
        </w:rPr>
        <w:t xml:space="preserve">expires on</w:t>
      </w:r>
      <w:r>
        <w:rPr>
          <w:b/>
          <w:bCs/>
        </w:rPr>
        <w:t xml:space="preserve"> </w:t>
      </w:r>
      <w:r>
        <w:rPr>
          <w:b/>
          <w:bCs/>
        </w:rPr>
        <w:t xml:space="preserve">31 December 2026</w:t>
      </w:r>
      <w:r>
        <w:t xml:space="preserve">. Reading any single one misses the others. This note puts them on one timeline.</w:t>
      </w:r>
    </w:p>
    <w:p>
      <w:r>
        <w:pict>
          <v:rect style="width:0;height:1.5pt" o:hralign="center" o:hrstd="t" o:hr="t"/>
        </w:pict>
      </w:r>
    </w:p>
    <w:bookmarkStart w:id="9" w:name="i.-the-2026-calendar-of-effective-dates"/>
    <w:p>
      <w:pPr>
        <w:pStyle w:val="Heading2"/>
      </w:pPr>
      <w:r>
        <w:t xml:space="preserve">I. The 2026 calendar of effective dates</w:t>
      </w:r>
    </w:p>
    <w:p>
      <w:pPr>
        <w:pStyle w:val="FirstParagraph"/>
      </w:pPr>
      <w:r>
        <w:t xml:space="preserve">Ordered by effective date.</w:t>
      </w:r>
      <w:r>
        <w:t xml:space="preserve"> </w:t>
      </w: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</w:rPr>
        <w:t xml:space="preserve">“effective from”</w:t>
      </w:r>
      <w:r>
        <w:rPr>
          <w:b/>
          <w:bCs/>
        </w:rPr>
        <w:t xml:space="preserve"> </w:t>
      </w:r>
      <w:r>
        <w:rPr>
          <w:b/>
          <w:bCs/>
        </w:rPr>
        <w:t xml:space="preserve">column is the only reliable way to tell</w:t>
      </w:r>
      <w:r>
        <w:rPr>
          <w:b/>
          <w:bCs/>
        </w:rPr>
        <w:t xml:space="preserve"> </w:t>
      </w:r>
      <w:r>
        <w:rPr>
          <w:b/>
          <w:bCs/>
        </w:rPr>
        <w:t xml:space="preserve">which rule applies to you right now.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Effective from</w:t>
            </w:r>
          </w:p>
        </w:tc>
        <w:tc>
          <w:tcPr/>
          <w:p>
            <w:pPr>
              <w:pStyle w:val="Compact"/>
            </w:pPr>
            <w:r>
              <w:t xml:space="preserve">Change</w:t>
            </w:r>
          </w:p>
        </w:tc>
        <w:tc>
          <w:tcPr/>
          <w:p>
            <w:pPr>
              <w:pStyle w:val="Compact"/>
            </w:pPr>
            <w:r>
              <w:t xml:space="preserve">Basis</w:t>
            </w:r>
          </w:p>
        </w:tc>
      </w:tr>
      <w:tr>
        <w:tc>
          <w:tcPr/>
          <w:p>
            <w:pPr>
              <w:pStyle w:val="Compact"/>
            </w:pPr>
            <w:r>
              <w:t xml:space="preserve">01/06/2025</w:t>
            </w:r>
          </w:p>
        </w:tc>
        <w:tc>
          <w:tcPr/>
          <w:p>
            <w:pPr>
              <w:pStyle w:val="Compact"/>
            </w:pPr>
            <w:r>
              <w:t xml:space="preserve">Major e-invoicing overhaul (amends 40 of 61 articles of Decree 123/2020)</w:t>
            </w:r>
          </w:p>
        </w:tc>
        <w:tc>
          <w:tcPr/>
          <w:p>
            <w:pPr>
              <w:pStyle w:val="Compact"/>
            </w:pPr>
            <w:r>
              <w:t xml:space="preserve">Decree</w:t>
            </w:r>
            <w:r>
              <w:t xml:space="preserve"> </w:t>
            </w:r>
            <w:r>
              <w:rPr>
                <w:b/>
                <w:bCs/>
              </w:rPr>
              <w:t xml:space="preserve">70/2025/NĐ-CP</w:t>
            </w:r>
          </w:p>
        </w:tc>
      </w:tr>
      <w:tr>
        <w:tc>
          <w:tcPr/>
          <w:p>
            <w:pPr>
              <w:pStyle w:val="Compact"/>
            </w:pPr>
            <w:r>
              <w:t xml:space="preserve">01/07/2025</w:t>
            </w:r>
          </w:p>
        </w:tc>
        <w:tc>
          <w:tcPr/>
          <w:p>
            <w:pPr>
              <w:pStyle w:val="Compact"/>
            </w:pPr>
            <w:r>
              <w:t xml:space="preserve">VAT on certain goods and services reduced to</w:t>
            </w:r>
            <w:r>
              <w:t xml:space="preserve"> </w:t>
            </w:r>
            <w:r>
              <w:rPr>
                <w:b/>
                <w:bCs/>
              </w:rPr>
              <w:t xml:space="preserve">8%</w:t>
            </w:r>
            <w:r>
              <w:t xml:space="preserve"> </w:t>
            </w:r>
            <w:r>
              <w:t xml:space="preserve">(</w:t>
            </w:r>
            <w:r>
              <w:rPr>
                <w:b/>
                <w:bCs/>
              </w:rPr>
              <w:t xml:space="preserve">until 31/12/2026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Resolution</w:t>
            </w:r>
            <w:r>
              <w:t xml:space="preserve"> </w:t>
            </w:r>
            <w:r>
              <w:rPr>
                <w:b/>
                <w:bCs/>
              </w:rPr>
              <w:t xml:space="preserve">204/2025/QH15</w:t>
            </w:r>
            <w:r>
              <w:t xml:space="preserve"> </w:t>
            </w:r>
            <w:r>
              <w:t xml:space="preserve">· Decree</w:t>
            </w:r>
            <w:r>
              <w:t xml:space="preserve"> </w:t>
            </w:r>
            <w:r>
              <w:rPr>
                <w:b/>
                <w:bCs/>
              </w:rPr>
              <w:t xml:space="preserve">174/2025/NĐ-CP</w:t>
            </w:r>
          </w:p>
        </w:tc>
      </w:tr>
      <w:tr>
        <w:tc>
          <w:tcPr/>
          <w:p>
            <w:pPr>
              <w:pStyle w:val="Compact"/>
            </w:pPr>
            <w:r>
              <w:t xml:space="preserve">01/07/2025</w:t>
            </w:r>
          </w:p>
        </w:tc>
        <w:tc>
          <w:tcPr/>
          <w:p>
            <w:pPr>
              <w:pStyle w:val="Compact"/>
            </w:pPr>
            <w:r>
              <w:t xml:space="preserve">Contractor VAT on digital services raised from 5% to</w:t>
            </w:r>
            <w:r>
              <w:t xml:space="preserve"> </w:t>
            </w:r>
            <w:r>
              <w:rPr>
                <w:b/>
                <w:bCs/>
              </w:rPr>
              <w:t xml:space="preserve">10%</w:t>
            </w:r>
          </w:p>
        </w:tc>
        <w:tc>
          <w:tcPr/>
          <w:p>
            <w:pPr>
              <w:pStyle w:val="Compact"/>
            </w:pPr>
            <w:r>
              <w:t xml:space="preserve">Circular</w:t>
            </w:r>
            <w:r>
              <w:t xml:space="preserve"> </w:t>
            </w:r>
            <w:r>
              <w:rPr>
                <w:b/>
                <w:bCs/>
              </w:rPr>
              <w:t xml:space="preserve">69/2025/TT-BTC</w:t>
            </w:r>
          </w:p>
        </w:tc>
      </w:tr>
      <w:tr>
        <w:tc>
          <w:tcPr/>
          <w:p>
            <w:pPr>
              <w:pStyle w:val="Compact"/>
            </w:pPr>
            <w:r>
              <w:t xml:space="preserve">01/10/2025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New Law on Corporate Income Tax</w:t>
            </w:r>
            <w:r>
              <w:t xml:space="preserve"> </w:t>
            </w:r>
            <w:r>
              <w:t xml:space="preserve">in force, adding 15% and 17% bands</w:t>
            </w:r>
          </w:p>
        </w:tc>
        <w:tc>
          <w:tcPr/>
          <w:p>
            <w:pPr>
              <w:pStyle w:val="Compact"/>
            </w:pPr>
            <w:r>
              <w:t xml:space="preserve">Law</w:t>
            </w:r>
            <w:r>
              <w:t xml:space="preserve"> </w:t>
            </w:r>
            <w:r>
              <w:rPr>
                <w:b/>
                <w:bCs/>
              </w:rPr>
              <w:t xml:space="preserve">67/2025/QH15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01/01/2026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Business licence fee abolished</w:t>
            </w:r>
          </w:p>
        </w:tc>
        <w:tc>
          <w:tcPr/>
          <w:p>
            <w:pPr>
              <w:pStyle w:val="Compact"/>
            </w:pPr>
            <w:r>
              <w:t xml:space="preserve">Article 10, Resolution</w:t>
            </w:r>
            <w:r>
              <w:t xml:space="preserve"> </w:t>
            </w:r>
            <w:r>
              <w:rPr>
                <w:b/>
                <w:bCs/>
              </w:rPr>
              <w:t xml:space="preserve">198/2025/QH15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01/01/2026</w:t>
            </w:r>
          </w:p>
        </w:tc>
        <w:tc>
          <w:tcPr/>
          <w:p>
            <w:pPr>
              <w:pStyle w:val="Compact"/>
            </w:pPr>
            <w:r>
              <w:t xml:space="preserve">Household/individual revenue threshold</w:t>
            </w:r>
            <w:r>
              <w:t xml:space="preserve"> </w:t>
            </w:r>
            <w:r>
              <w:rPr>
                <w:b/>
                <w:bCs/>
              </w:rPr>
              <w:t xml:space="preserve">VND 100m → 500m</w:t>
            </w:r>
            <w:r>
              <w:t xml:space="preserve">;</w:t>
            </w:r>
            <w:r>
              <w:t xml:space="preserve"> </w:t>
            </w:r>
            <w:r>
              <w:rPr>
                <w:b/>
                <w:bCs/>
              </w:rPr>
              <w:t xml:space="preserve">presumptive method abolished</w:t>
            </w:r>
          </w:p>
        </w:tc>
        <w:tc>
          <w:tcPr/>
          <w:p>
            <w:pPr>
              <w:pStyle w:val="Compact"/>
            </w:pPr>
            <w:r>
              <w:t xml:space="preserve">Amended Law on Personal Income Tax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01/01/2026</w:t>
            </w:r>
          </w:p>
        </w:tc>
        <w:tc>
          <w:tcPr/>
          <w:p>
            <w:pPr>
              <w:pStyle w:val="Compact"/>
            </w:pPr>
            <w:r>
              <w:t xml:space="preserve">Regional minimum wages up</w:t>
            </w:r>
            <w:r>
              <w:t xml:space="preserve"> </w:t>
            </w:r>
            <w:r>
              <w:rPr>
                <w:b/>
                <w:bCs/>
              </w:rPr>
              <w:t xml:space="preserve">7.2%</w:t>
            </w:r>
          </w:p>
        </w:tc>
        <w:tc>
          <w:tcPr/>
          <w:p>
            <w:pPr>
              <w:pStyle w:val="Compact"/>
            </w:pPr>
            <w:r>
              <w:t xml:space="preserve">Decree</w:t>
            </w:r>
            <w:r>
              <w:t xml:space="preserve"> </w:t>
            </w:r>
            <w:r>
              <w:rPr>
                <w:b/>
                <w:bCs/>
              </w:rPr>
              <w:t xml:space="preserve">293/2025/NĐ-CP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01/07/2026</w:t>
            </w:r>
          </w:p>
        </w:tc>
        <w:tc>
          <w:tcPr/>
          <w:p>
            <w:pPr>
              <w:pStyle w:val="Compact"/>
            </w:pPr>
            <w:r>
              <w:t xml:space="preserve">Social insurance reference level</w:t>
            </w:r>
            <w:r>
              <w:t xml:space="preserve"> </w:t>
            </w:r>
            <w:r>
              <w:rPr>
                <w:b/>
                <w:bCs/>
              </w:rPr>
              <w:t xml:space="preserve">VND 2,340,000 → 2,530,000</w:t>
            </w:r>
            <w:r>
              <w:t xml:space="preserve"> </w:t>
            </w:r>
            <w:r>
              <w:t xml:space="preserve">per month</w:t>
            </w:r>
          </w:p>
        </w:tc>
        <w:tc>
          <w:tcPr/>
          <w:p>
            <w:pPr>
              <w:pStyle w:val="Compact"/>
            </w:pPr>
            <w:r>
              <w:t xml:space="preserve">Published by Vietnam Social Security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01/07/2026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New Law on Personal Income Tax</w:t>
            </w:r>
            <w:r>
              <w:t xml:space="preserve"> </w:t>
            </w:r>
            <w:r>
              <w:t xml:space="preserve">in force; progressive table</w:t>
            </w:r>
            <w:r>
              <w:t xml:space="preserve"> </w:t>
            </w:r>
            <w:r>
              <w:rPr>
                <w:b/>
                <w:bCs/>
              </w:rPr>
              <w:t xml:space="preserve">7 bands → 5</w:t>
            </w:r>
          </w:p>
        </w:tc>
        <w:tc>
          <w:tcPr/>
          <w:p>
            <w:pPr>
              <w:pStyle w:val="Compact"/>
            </w:pPr>
            <w:r>
              <w:t xml:space="preserve">Law</w:t>
            </w:r>
            <w:r>
              <w:t xml:space="preserve"> </w:t>
            </w:r>
            <w:r>
              <w:rPr>
                <w:b/>
                <w:bCs/>
              </w:rPr>
              <w:t xml:space="preserve">109/2025/QH15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12/03/2026</w:t>
            </w:r>
          </w:p>
        </w:tc>
        <w:tc>
          <w:tcPr/>
          <w:p>
            <w:pPr>
              <w:pStyle w:val="Compact"/>
            </w:pPr>
            <w:r>
              <w:t xml:space="preserve">Old</w:t>
            </w:r>
            <w:r>
              <w:t xml:space="preserve"> </w:t>
            </w:r>
            <w:r>
              <w:rPr>
                <w:b/>
                <w:bCs/>
              </w:rPr>
              <w:t xml:space="preserve">corporate income tax</w:t>
            </w:r>
            <w:r>
              <w:t xml:space="preserve"> </w:t>
            </w:r>
            <w:r>
              <w:t xml:space="preserve">rules for foreign contractors repealed</w:t>
            </w:r>
          </w:p>
        </w:tc>
        <w:tc>
          <w:tcPr/>
          <w:p>
            <w:pPr>
              <w:pStyle w:val="Compact"/>
            </w:pPr>
            <w:r>
              <w:t xml:space="preserve">Circular</w:t>
            </w:r>
            <w:r>
              <w:t xml:space="preserve"> </w:t>
            </w:r>
            <w:r>
              <w:rPr>
                <w:b/>
                <w:bCs/>
              </w:rPr>
              <w:t xml:space="preserve">20/2026/TT-BTC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31/12/2026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8% VAT reduction expires</w:t>
            </w:r>
            <w:r>
              <w:t xml:space="preserve"> </w:t>
            </w:r>
            <w:r>
              <w:t xml:space="preserve">— absent a new resolution, the rate returns to 10%</w:t>
            </w:r>
          </w:p>
        </w:tc>
        <w:tc>
          <w:tcPr/>
          <w:p>
            <w:pPr>
              <w:pStyle w:val="Compact"/>
            </w:pPr>
            <w:r>
              <w:t xml:space="preserve">as above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9"/>
    <w:bookmarkStart w:id="20" w:name="ii.-the-changes-in-detail"/>
    <w:p>
      <w:pPr>
        <w:pStyle w:val="Heading2"/>
      </w:pPr>
      <w:r>
        <w:t xml:space="preserve">II. The changes in detail</w:t>
      </w:r>
    </w:p>
    <w:bookmarkStart w:id="10" w:name="X9d11479b3e899215a7d7a677f11d48aa293bbcb"/>
    <w:p>
      <w:pPr>
        <w:pStyle w:val="Heading3"/>
      </w:pPr>
      <w:r>
        <w:t xml:space="preserve">2.1. Abolition of the business licence fee — the widest-reaching, most-missed change</w:t>
      </w:r>
    </w:p>
    <w:p>
      <w:pPr>
        <w:pStyle w:val="FirstParagraph"/>
      </w:pPr>
      <w:r>
        <w:rPr>
          <w:b/>
          <w:bCs/>
        </w:rPr>
        <w:t xml:space="preserve">Collection and payment ceased on 1 January 2026</w:t>
      </w:r>
      <w:r>
        <w:t xml:space="preserve">, under</w:t>
      </w:r>
      <w:r>
        <w:t xml:space="preserve"> </w:t>
      </w:r>
      <w:r>
        <w:rPr>
          <w:b/>
          <w:bCs/>
        </w:rPr>
        <w:t xml:space="preserve">Article 10 of Resolution</w:t>
      </w:r>
      <w:r>
        <w:rPr>
          <w:b/>
          <w:bCs/>
        </w:rPr>
        <w:t xml:space="preserve"> </w:t>
      </w:r>
      <w:r>
        <w:rPr>
          <w:b/>
          <w:bCs/>
        </w:rPr>
        <w:t xml:space="preserve">198/2025/QH15</w:t>
      </w:r>
      <w:r>
        <w:t xml:space="preserve"> </w:t>
      </w:r>
      <w:r>
        <w:t xml:space="preserve">(passed 17 May 2025). It applied to enterprises, business households,</w:t>
      </w:r>
      <w:r>
        <w:t xml:space="preserve"> </w:t>
      </w:r>
      <w:r>
        <w:t xml:space="preserve">individual traders and other related organisations and individuals.</w:t>
      </w:r>
    </w:p>
    <w:p>
      <w:pPr>
        <w:pStyle w:val="BodyText"/>
      </w:pPr>
      <w:r>
        <w:t xml:space="preserve">This is the</w:t>
      </w:r>
      <w:r>
        <w:t xml:space="preserve"> </w:t>
      </w:r>
      <w:r>
        <w:rPr>
          <w:b/>
          <w:bCs/>
        </w:rPr>
        <w:t xml:space="preserve">first outright abolition of a levy in the history of Vietnamese tax policy</w:t>
      </w:r>
      <w:r>
        <w:t xml:space="preserve"> </w:t>
      </w:r>
      <w:r>
        <w:t xml:space="preserve">—</w:t>
      </w:r>
      <w:r>
        <w:t xml:space="preserve"> </w:t>
      </w:r>
      <w:r>
        <w:t xml:space="preserve">the fee had existed for nearly sixty years.</w:t>
      </w:r>
    </w:p>
    <w:p>
      <w:pPr>
        <w:pStyle w:val="BlockText"/>
      </w:pPr>
      <w:r>
        <w:rPr>
          <w:b/>
          <w:bCs/>
        </w:rPr>
        <w:t xml:space="preserve">Why it needs separate emphasis</w:t>
      </w:r>
      <w:r>
        <w:t xml:space="preserve">: most Chinese- and English-language guides to setting up</w:t>
      </w:r>
      <w:r>
        <w:t xml:space="preserve"> </w:t>
      </w:r>
      <w:r>
        <w:t xml:space="preserve">in Vietnam still instruct readers to</w:t>
      </w:r>
      <w:r>
        <w:t xml:space="preserve"> </w:t>
      </w:r>
      <w:r>
        <w:t xml:space="preserve">“declare the business licence fee within 30 days of</w:t>
      </w:r>
      <w:r>
        <w:t xml:space="preserve"> </w:t>
      </w:r>
      <w:r>
        <w:t xml:space="preserve">incorporation”</w:t>
      </w:r>
      <w:r>
        <w:t xml:space="preserve">. Anyone following the old guidance will go looking for a</w:t>
      </w:r>
      <w:r>
        <w:t xml:space="preserve"> </w:t>
      </w:r>
      <w:r>
        <w:rPr>
          <w:b/>
          <w:bCs/>
        </w:rPr>
        <w:t xml:space="preserve">filing channel</w:t>
      </w:r>
      <w:r>
        <w:rPr>
          <w:b/>
          <w:bCs/>
        </w:rPr>
        <w:t xml:space="preserve"> </w:t>
      </w:r>
      <w:r>
        <w:rPr>
          <w:b/>
          <w:bCs/>
        </w:rPr>
        <w:t xml:space="preserve">that no longer exists</w:t>
      </w:r>
      <w:r>
        <w:t xml:space="preserve"> </w:t>
      </w:r>
      <w:r>
        <w:t xml:space="preserve">and assume they have missed a deadline.</w:t>
      </w:r>
    </w:p>
    <w:bookmarkEnd w:id="10"/>
    <w:bookmarkStart w:id="11" w:name="X400bfa66e9a6b1c69b3774b12687aeab1c5371c"/>
    <w:p>
      <w:pPr>
        <w:pStyle w:val="Heading3"/>
      </w:pPr>
      <w:r>
        <w:t xml:space="preserve">2.2. Corporate income tax: 20% standard, with new 15% and 17% bands</w:t>
      </w:r>
    </w:p>
    <w:p>
      <w:pPr>
        <w:pStyle w:val="FirstParagraph"/>
      </w:pPr>
      <w:r>
        <w:rPr>
          <w:b/>
          <w:bCs/>
        </w:rPr>
        <w:t xml:space="preserve">Law 67/2025/QH15</w:t>
      </w:r>
      <w:r>
        <w:t xml:space="preserve">, passed 14 June 2025,</w:t>
      </w:r>
      <w:r>
        <w:t xml:space="preserve"> </w:t>
      </w:r>
      <w:r>
        <w:rPr>
          <w:b/>
          <w:bCs/>
        </w:rPr>
        <w:t xml:space="preserve">effective 1 October 2025</w:t>
      </w:r>
      <w:r>
        <w:t xml:space="preserve">, applying from the</w:t>
      </w:r>
      <w:r>
        <w:t xml:space="preserve"> </w:t>
      </w:r>
      <w:r>
        <w:t xml:space="preserve">2025 tax period.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Band</w:t>
            </w:r>
          </w:p>
        </w:tc>
        <w:tc>
          <w:tcPr/>
          <w:p>
            <w:pPr>
              <w:pStyle w:val="Compact"/>
            </w:pPr>
            <w:r>
              <w:t xml:space="preserve">Condition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15%</w:t>
            </w:r>
          </w:p>
        </w:tc>
        <w:tc>
          <w:tcPr/>
          <w:p>
            <w:pPr>
              <w:pStyle w:val="Compact"/>
            </w:pPr>
            <w:r>
              <w:t xml:space="preserve">Total annual revenue</w:t>
            </w:r>
            <w:r>
              <w:t xml:space="preserve"> </w:t>
            </w:r>
            <w:r>
              <w:rPr>
                <w:b/>
                <w:bCs/>
              </w:rPr>
              <w:t xml:space="preserve">not exceeding VND 3 billion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17%</w:t>
            </w:r>
          </w:p>
        </w:tc>
        <w:tc>
          <w:tcPr/>
          <w:p>
            <w:pPr>
              <w:pStyle w:val="Compact"/>
            </w:pPr>
            <w:r>
              <w:t xml:space="preserve">Total annual revenue</w:t>
            </w:r>
            <w:r>
              <w:t xml:space="preserve"> </w:t>
            </w:r>
            <w:r>
              <w:rPr>
                <w:b/>
                <w:bCs/>
              </w:rPr>
              <w:t xml:space="preserve">above VND 3 billion up to VND 50 billion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20%</w:t>
            </w:r>
          </w:p>
        </w:tc>
        <w:tc>
          <w:tcPr/>
          <w:p>
            <w:pPr>
              <w:pStyle w:val="Compact"/>
            </w:pPr>
            <w:r>
              <w:t xml:space="preserve">Everything else</w:t>
            </w:r>
          </w:p>
        </w:tc>
      </w:tr>
    </w:tbl>
    <w:p>
      <w:pPr>
        <w:pStyle w:val="BodyText"/>
      </w:pPr>
      <w:r>
        <w:t xml:space="preserve">The band is determined by</w:t>
      </w:r>
      <w:r>
        <w:t xml:space="preserve"> </w:t>
      </w:r>
      <w:r>
        <w:rPr>
          <w:b/>
          <w:bCs/>
        </w:rPr>
        <w:t xml:space="preserve">total revenue of the immediately preceding CIT period</w:t>
      </w:r>
      <w:r>
        <w:t xml:space="preserve">; the</w:t>
      </w:r>
      <w:r>
        <w:t xml:space="preserve"> </w:t>
      </w:r>
      <w:r>
        <w:t xml:space="preserve">Government will provide detail for newly established enterprises.</w:t>
      </w:r>
    </w:p>
    <w:p>
      <w:pPr>
        <w:pStyle w:val="BlockText"/>
      </w:pPr>
      <w:r>
        <w:rPr>
          <w:b/>
          <w:bCs/>
        </w:rPr>
        <w:t xml:space="preserve">Most small and medium foreign-invested enterprises sit below the VND 50 billion mark</w:t>
      </w:r>
      <w:r>
        <w:t xml:space="preserve"> </w:t>
      </w:r>
      <w:r>
        <w:t xml:space="preserve">—</w:t>
      </w:r>
      <w:r>
        <w:t xml:space="preserve"> </w:t>
      </w:r>
      <w:r>
        <w:t xml:space="preserve">which makes these the rates that actually matter to them, while older material usually says</w:t>
      </w:r>
      <w:r>
        <w:t xml:space="preserve"> </w:t>
      </w:r>
      <w:r>
        <w:t xml:space="preserve">only</w:t>
      </w:r>
      <w:r>
        <w:t xml:space="preserve"> </w:t>
      </w:r>
      <w:r>
        <w:t xml:space="preserve">“corporate income tax is 20%”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On the effective date</w:t>
      </w:r>
      <w:r>
        <w:t xml:space="preserve">: secondary sources give both 1 October 2025 and 1 January 2026.</w:t>
      </w:r>
      <w:r>
        <w:t xml:space="preserve"> </w:t>
      </w:r>
      <w:r>
        <w:t xml:space="preserve">This note follows the</w:t>
      </w:r>
      <w:r>
        <w:t xml:space="preserve"> </w:t>
      </w:r>
      <w:r>
        <w:rPr>
          <w:b/>
          <w:bCs/>
        </w:rPr>
        <w:t xml:space="preserve">Government Gazette (congbao.chinhphu.vn)</w:t>
      </w:r>
      <w:r>
        <w:t xml:space="preserve">:</w:t>
      </w:r>
      <w:r>
        <w:t xml:space="preserve"> </w:t>
      </w:r>
      <w:r>
        <w:rPr>
          <w:rStyle w:val="VerbatimChar"/>
        </w:rPr>
        <w:t xml:space="preserve">Ngày hiệu lực: 01/10/2025</w:t>
      </w:r>
      <w:r>
        <w:t xml:space="preserve">.</w:t>
      </w:r>
    </w:p>
    <w:bookmarkEnd w:id="11"/>
    <w:bookmarkStart w:id="12" w:name="X49a0bd2353c940892813dcfab3fdf938cfd8cc3"/>
    <w:p>
      <w:pPr>
        <w:pStyle w:val="Heading3"/>
      </w:pPr>
      <w:r>
        <w:t xml:space="preserve">2.3. VAT: the 8% rate is temporary and expires on 31 December 2026</w:t>
      </w:r>
    </w:p>
    <w:p>
      <w:pPr>
        <w:pStyle w:val="Compact"/>
        <w:numPr>
          <w:ilvl w:val="0"/>
          <w:numId w:val="1001"/>
        </w:numPr>
      </w:pPr>
      <w:r>
        <w:t xml:space="preserve">Governing law:</w:t>
      </w:r>
      <w:r>
        <w:t xml:space="preserve"> </w:t>
      </w:r>
      <w:r>
        <w:rPr>
          <w:b/>
          <w:bCs/>
        </w:rPr>
        <w:t xml:space="preserve">Law 48/2024/QH15</w:t>
      </w:r>
      <w:r>
        <w:t xml:space="preserve">, standard rate</w:t>
      </w:r>
      <w:r>
        <w:t xml:space="preserve"> </w:t>
      </w:r>
      <w:r>
        <w:rPr>
          <w:b/>
          <w:bCs/>
        </w:rPr>
        <w:t xml:space="preserve">10%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Basis for the reduction:</w:t>
      </w:r>
      <w:r>
        <w:t xml:space="preserve"> </w:t>
      </w:r>
      <w:r>
        <w:rPr>
          <w:b/>
          <w:bCs/>
        </w:rPr>
        <w:t xml:space="preserve">Resolution 204/2025/QH15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Decree 174/2025/NĐ-CP</w:t>
      </w:r>
      <w:r>
        <w:t xml:space="preserve">,</w:t>
      </w:r>
      <w:r>
        <w:t xml:space="preserve"> </w:t>
      </w:r>
      <w:r>
        <w:t xml:space="preserve">reducing certain goods and services to</w:t>
      </w:r>
      <w:r>
        <w:t xml:space="preserve"> </w:t>
      </w:r>
      <w:r>
        <w:rPr>
          <w:b/>
          <w:bCs/>
        </w:rPr>
        <w:t xml:space="preserve">8%</w:t>
      </w:r>
      <w:r>
        <w:t xml:space="preserve"> </w:t>
      </w:r>
      <w:r>
        <w:t xml:space="preserve">for</w:t>
      </w:r>
      <w:r>
        <w:t xml:space="preserve"> </w:t>
      </w:r>
      <w:r>
        <w:rPr>
          <w:b/>
          <w:bCs/>
        </w:rPr>
        <w:t xml:space="preserve">1 July 2025 – 31 December 2026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Excluded from the reduction</w:t>
      </w:r>
      <w:r>
        <w:t xml:space="preserve">: telecommunications, finance, banking, securities,</w:t>
      </w:r>
      <w:r>
        <w:t xml:space="preserve"> </w:t>
      </w:r>
      <w:r>
        <w:t xml:space="preserve">insurance, real estate business, metal products, mining products (except coal), and goods</w:t>
      </w:r>
      <w:r>
        <w:t xml:space="preserve"> </w:t>
      </w:r>
      <w:r>
        <w:t xml:space="preserve">and services subject to special consumption tax (except fuel).</w:t>
      </w:r>
    </w:p>
    <w:p>
      <w:pPr>
        <w:pStyle w:val="BlockText"/>
      </w:pPr>
      <w:r>
        <w:rPr>
          <w:b/>
          <w:bCs/>
        </w:rPr>
        <w:t xml:space="preserve">This is the one policy in this note that will expire by itself.</w:t>
      </w:r>
      <w:r>
        <w:t xml:space="preserve"> </w:t>
      </w:r>
      <w:r>
        <w:t xml:space="preserve">For contracts spanning</w:t>
      </w:r>
      <w:r>
        <w:t xml:space="preserve"> </w:t>
      </w:r>
      <w:r>
        <w:t xml:space="preserve">the end of 2026, price and tax clauses should state that the rate follows changes in the</w:t>
      </w:r>
      <w:r>
        <w:t xml:space="preserve"> </w:t>
      </w:r>
      <w:r>
        <w:t xml:space="preserve">law; otherwise who bears the difference from 2027 becomes a point of dispute.</w:t>
      </w:r>
    </w:p>
    <w:bookmarkEnd w:id="12"/>
    <w:bookmarkStart w:id="13" w:name="Xecb6fc7475634cc8883677318a66cc238e92bb5"/>
    <w:p>
      <w:pPr>
        <w:pStyle w:val="Heading3"/>
      </w:pPr>
      <w:r>
        <w:t xml:space="preserve">2.4. Personal income tax: a new law, and seven bands become five</w:t>
      </w:r>
    </w:p>
    <w:p>
      <w:pPr>
        <w:pStyle w:val="FirstParagraph"/>
      </w:pPr>
      <w:r>
        <w:rPr>
          <w:b/>
          <w:bCs/>
        </w:rPr>
        <w:t xml:space="preserve">Law 109/2025/QH15</w:t>
      </w:r>
      <w:r>
        <w:t xml:space="preserve">, passed 10 December 2025 (four chapters, 29 articles),</w:t>
      </w:r>
      <w:r>
        <w:t xml:space="preserve"> </w:t>
      </w:r>
      <w:r>
        <w:rPr>
          <w:b/>
          <w:bCs/>
        </w:rPr>
        <w:t xml:space="preserve">effective 1 July 2026</w:t>
      </w:r>
      <w:r>
        <w:t xml:space="preserve">; its provisions on resident individuals’ business income and</w:t>
      </w:r>
      <w:r>
        <w:t xml:space="preserve"> </w:t>
      </w:r>
      <w:r>
        <w:t xml:space="preserve">employment income</w:t>
      </w:r>
      <w:r>
        <w:t xml:space="preserve"> </w:t>
      </w:r>
      <w:r>
        <w:rPr>
          <w:b/>
          <w:bCs/>
        </w:rPr>
        <w:t xml:space="preserve">apply from the 2026 tax year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Article 9 — the five-band progressive table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Band</w:t>
            </w:r>
          </w:p>
        </w:tc>
        <w:tc>
          <w:tcPr/>
          <w:p>
            <w:pPr>
              <w:pStyle w:val="Compact"/>
            </w:pPr>
            <w:r>
              <w:t xml:space="preserve">Monthly taxable income (VND)</w:t>
            </w:r>
          </w:p>
        </w:tc>
        <w:tc>
          <w:tcPr/>
          <w:p>
            <w:pPr>
              <w:pStyle w:val="Compact"/>
            </w:pPr>
            <w:r>
              <w:t xml:space="preserve">Annual taxable income (VND)</w:t>
            </w:r>
          </w:p>
        </w:tc>
        <w:tc>
          <w:tcPr/>
          <w:p>
            <w:pPr>
              <w:pStyle w:val="Compact"/>
            </w:pPr>
            <w:r>
              <w:t xml:space="preserve">Rate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Up to 10 million</w:t>
            </w:r>
          </w:p>
        </w:tc>
        <w:tc>
          <w:tcPr/>
          <w:p>
            <w:pPr>
              <w:pStyle w:val="Compact"/>
            </w:pPr>
            <w:r>
              <w:t xml:space="preserve">Up to 120 million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Over 10 million to 30 million</w:t>
            </w:r>
          </w:p>
        </w:tc>
        <w:tc>
          <w:tcPr/>
          <w:p>
            <w:pPr>
              <w:pStyle w:val="Compact"/>
            </w:pPr>
            <w:r>
              <w:t xml:space="preserve">Over 120 million to 360 million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Over 30 million to 60 million</w:t>
            </w:r>
          </w:p>
        </w:tc>
        <w:tc>
          <w:tcPr/>
          <w:p>
            <w:pPr>
              <w:pStyle w:val="Compact"/>
            </w:pPr>
            <w:r>
              <w:t xml:space="preserve">Over 360 million to 720 million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Over 60 million to 100 million</w:t>
            </w:r>
          </w:p>
        </w:tc>
        <w:tc>
          <w:tcPr/>
          <w:p>
            <w:pPr>
              <w:pStyle w:val="Compact"/>
            </w:pPr>
            <w:r>
              <w:t xml:space="preserve">Over 720 million to 1.2 billion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Over 100 million</w:t>
            </w:r>
          </w:p>
        </w:tc>
        <w:tc>
          <w:tcPr/>
          <w:p>
            <w:pPr>
              <w:pStyle w:val="Compact"/>
            </w:pPr>
            <w:r>
              <w:t xml:space="preserve">Over 1.2 billion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35%</w:t>
            </w:r>
          </w:p>
        </w:tc>
      </w:tr>
    </w:tbl>
    <w:p>
      <w:pPr>
        <w:pStyle w:val="BodyText"/>
      </w:pPr>
      <w:r>
        <w:rPr>
          <w:b/>
          <w:bCs/>
        </w:rPr>
        <w:t xml:space="preserve">Article 10 — family circumstance deductions</w:t>
      </w:r>
      <w:r>
        <w:t xml:space="preserve"> </w:t>
      </w:r>
      <w:r>
        <w:t xml:space="preserve">(consistent with Resolution 110/2025/UBTVQH15):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Deduction</w:t>
            </w:r>
          </w:p>
        </w:tc>
        <w:tc>
          <w:tcPr/>
          <w:p>
            <w:pPr>
              <w:pStyle w:val="Compact"/>
            </w:pPr>
            <w:r>
              <w:t xml:space="preserve">Previous</w:t>
            </w:r>
          </w:p>
        </w:tc>
        <w:tc>
          <w:tcPr/>
          <w:p>
            <w:pPr>
              <w:pStyle w:val="Compact"/>
            </w:pPr>
            <w:r>
              <w:t xml:space="preserve">New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taxpayer</w:t>
            </w:r>
          </w:p>
        </w:tc>
        <w:tc>
          <w:tcPr/>
          <w:p>
            <w:pPr>
              <w:pStyle w:val="Compact"/>
            </w:pPr>
            <w:r>
              <w:t xml:space="preserve">VND 11 million/month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VND 15.5 million/month</w:t>
            </w:r>
            <w:r>
              <w:t xml:space="preserve"> </w:t>
            </w:r>
            <w:r>
              <w:t xml:space="preserve">(VND 186 million/year)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Each dependant</w:t>
            </w:r>
          </w:p>
        </w:tc>
        <w:tc>
          <w:tcPr/>
          <w:p>
            <w:pPr>
              <w:pStyle w:val="Compact"/>
            </w:pPr>
            <w:r>
              <w:t xml:space="preserve">VND 4.4 million/month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VND 6.2 million/month</w:t>
            </w:r>
          </w:p>
        </w:tc>
      </w:tr>
    </w:tbl>
    <w:p>
      <w:pPr>
        <w:pStyle w:val="BodyText"/>
      </w:pPr>
      <w:r>
        <w:t xml:space="preserve">An increase of more than</w:t>
      </w:r>
      <w:r>
        <w:t xml:space="preserve"> </w:t>
      </w:r>
      <w:r>
        <w:rPr>
          <w:b/>
          <w:bCs/>
        </w:rPr>
        <w:t xml:space="preserve">40%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Practical effect for employers</w:t>
      </w:r>
      <w:r>
        <w:t xml:space="preserve">: payroll must be changed in</w:t>
      </w:r>
      <w:r>
        <w:t xml:space="preserve"> </w:t>
      </w:r>
      <w:r>
        <w:rPr>
          <w:b/>
          <w:bCs/>
        </w:rPr>
        <w:t xml:space="preserve">two places</w:t>
      </w:r>
      <w:r>
        <w:t xml:space="preserve"> </w:t>
      </w:r>
      <w:r>
        <w:t xml:space="preserve">— the rate</w:t>
      </w:r>
      <w:r>
        <w:t xml:space="preserve"> </w:t>
      </w:r>
      <w:r>
        <w:t xml:space="preserve">table and the deductions — and the switch follows the</w:t>
      </w:r>
      <w:r>
        <w:t xml:space="preserve"> </w:t>
      </w:r>
      <w:r>
        <w:rPr>
          <w:b/>
          <w:bCs/>
        </w:rPr>
        <w:t xml:space="preserve">tax year</w:t>
      </w:r>
      <w:r>
        <w:t xml:space="preserve">, not the 1 July effective</w:t>
      </w:r>
      <w:r>
        <w:t xml:space="preserve"> </w:t>
      </w:r>
      <w:r>
        <w:t xml:space="preserve">date. Do not cut over mid-year.</w:t>
      </w:r>
    </w:p>
    <w:bookmarkEnd w:id="13"/>
    <w:bookmarkStart w:id="14" w:name="X356aeabad6d12fc7da7c4b9ec72b9368c95a3ea"/>
    <w:p>
      <w:pPr>
        <w:pStyle w:val="Heading3"/>
      </w:pPr>
      <w:r>
        <w:t xml:space="preserve">2.5. Business households and individuals: threshold up from VND 100m to VND 500m, presumptive method abolished</w:t>
      </w:r>
    </w:p>
    <w:p>
      <w:pPr>
        <w:pStyle w:val="FirstParagraph"/>
      </w:pPr>
      <w:r>
        <w:t xml:space="preserve">From</w:t>
      </w:r>
      <w:r>
        <w:t xml:space="preserve"> </w:t>
      </w:r>
      <w:r>
        <w:rPr>
          <w:b/>
          <w:bCs/>
        </w:rPr>
        <w:t xml:space="preserve">1 January 2026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Annual revenue</w:t>
      </w:r>
      <w:r>
        <w:t xml:space="preserve"> </w:t>
      </w:r>
      <w:r>
        <w:rPr>
          <w:b/>
          <w:bCs/>
        </w:rPr>
        <w:t xml:space="preserve">at or below VND 500 million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exempt from both VAT and personal income tax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presumptive (khoán) method is abolished</w:t>
      </w:r>
      <w:r>
        <w:t xml:space="preserve"> </w:t>
      </w:r>
      <w:r>
        <w:t xml:space="preserve">in favour of</w:t>
      </w:r>
      <w:r>
        <w:t xml:space="preserve"> </w:t>
      </w:r>
      <w:r>
        <w:rPr>
          <w:b/>
          <w:bCs/>
        </w:rPr>
        <w:t xml:space="preserve">self-declaration</w:t>
      </w:r>
      <w:r>
        <w:t xml:space="preserve">.</w:t>
      </w:r>
    </w:p>
    <w:p>
      <w:pPr>
        <w:pStyle w:val="FirstParagraph"/>
      </w:pPr>
      <w:r>
        <w:t xml:space="preserve">Official estimates put about</w:t>
      </w:r>
      <w:r>
        <w:t xml:space="preserve"> </w:t>
      </w:r>
      <w:r>
        <w:rPr>
          <w:b/>
          <w:bCs/>
        </w:rPr>
        <w:t xml:space="preserve">2.3 million</w:t>
      </w:r>
      <w:r>
        <w:t xml:space="preserve"> </w:t>
      </w:r>
      <w:r>
        <w:t xml:space="preserve">business households (roughly 90%) outside the tax net.</w:t>
      </w:r>
    </w:p>
    <w:p>
      <w:pPr>
        <w:pStyle w:val="BlockText"/>
      </w:pPr>
      <w:r>
        <w:rPr>
          <w:b/>
          <w:bCs/>
        </w:rPr>
        <w:t xml:space="preserve">Exemption is not exemption from filing.</w:t>
      </w:r>
      <w:r>
        <w:t xml:space="preserve"> </w:t>
      </w:r>
      <w:r>
        <w:t xml:space="preserve">Declarations must still be made fully,</w:t>
      </w:r>
      <w:r>
        <w:t xml:space="preserve"> </w:t>
      </w:r>
      <w:r>
        <w:t xml:space="preserve">truthfully and on time below the threshold.</w:t>
      </w:r>
    </w:p>
    <w:p>
      <w:pPr>
        <w:pStyle w:val="BlockText"/>
      </w:pPr>
      <w:r>
        <w:rPr>
          <w:b/>
          <w:bCs/>
        </w:rPr>
        <w:t xml:space="preserve">Effect on leases</w:t>
      </w:r>
      <w:r>
        <w:t xml:space="preserve">: individuals letting property fall within this. From 2026 an individual</w:t>
      </w:r>
      <w:r>
        <w:t xml:space="preserve"> </w:t>
      </w:r>
      <w:r>
        <w:t xml:space="preserve">landlord with rental income below VND 500 million a year no longer pays VAT or PIT — which</w:t>
      </w:r>
      <w:r>
        <w:t xml:space="preserve"> </w:t>
      </w:r>
      <w:r>
        <w:t xml:space="preserve">directly changes the negotiating basis for</w:t>
      </w:r>
      <w:r>
        <w:t xml:space="preserve"> </w:t>
      </w:r>
      <w:r>
        <w:t xml:space="preserve">“who bears the tax”</w:t>
      </w:r>
      <w:r>
        <w:t xml:space="preserve"> </w:t>
      </w:r>
      <w:r>
        <w:t xml:space="preserve">clauses in lease agreements.</w:t>
      </w:r>
    </w:p>
    <w:bookmarkEnd w:id="14"/>
    <w:bookmarkStart w:id="15" w:name="Xa69226a4c58e712f120c315395cb2293ae3dcb0"/>
    <w:p>
      <w:pPr>
        <w:pStyle w:val="Heading3"/>
      </w:pPr>
      <w:r>
        <w:t xml:space="preserve">2.6. Social insurance base: the reference level is VND 2,530,000 from 1 July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Period</w:t>
            </w:r>
          </w:p>
        </w:tc>
        <w:tc>
          <w:tcPr/>
          <w:p>
            <w:pPr>
              <w:pStyle w:val="Compact"/>
            </w:pPr>
            <w:r>
              <w:t xml:space="preserve">Reference level</w:t>
            </w:r>
          </w:p>
        </w:tc>
        <w:tc>
          <w:tcPr/>
          <w:p>
            <w:pPr>
              <w:pStyle w:val="Compact"/>
            </w:pPr>
            <w:r>
              <w:t xml:space="preserve">Minimum base</w:t>
            </w:r>
          </w:p>
        </w:tc>
        <w:tc>
          <w:tcPr/>
          <w:p>
            <w:pPr>
              <w:pStyle w:val="Compact"/>
            </w:pPr>
            <w:r>
              <w:t xml:space="preserve">Ceiling (20×)</w:t>
            </w:r>
          </w:p>
        </w:tc>
      </w:tr>
      <w:tr>
        <w:tc>
          <w:tcPr/>
          <w:p>
            <w:pPr>
              <w:pStyle w:val="Compact"/>
            </w:pPr>
            <w:r>
              <w:t xml:space="preserve">Until 30/06/2026</w:t>
            </w:r>
          </w:p>
        </w:tc>
        <w:tc>
          <w:tcPr/>
          <w:p>
            <w:pPr>
              <w:pStyle w:val="Compact"/>
            </w:pPr>
            <w:r>
              <w:t xml:space="preserve">VND 2,340,000/month</w:t>
            </w:r>
          </w:p>
        </w:tc>
        <w:tc>
          <w:tcPr/>
          <w:p>
            <w:pPr>
              <w:pStyle w:val="Compact"/>
            </w:pPr>
            <w:r>
              <w:t xml:space="preserve">2,340,000</w:t>
            </w:r>
          </w:p>
        </w:tc>
        <w:tc>
          <w:tcPr/>
          <w:p>
            <w:pPr>
              <w:pStyle w:val="Compact"/>
            </w:pPr>
            <w:r>
              <w:t xml:space="preserve">46,800,000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From 01/07/2026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VND 2,530,000/month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2,530,000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50,600,000</w:t>
            </w:r>
          </w:p>
        </w:tc>
      </w:tr>
    </w:tbl>
    <w:p>
      <w:pPr>
        <w:pStyle w:val="BodyText"/>
      </w:pPr>
      <w:r>
        <w:t xml:space="preserve">The mechanism: under Article 141.13 of the</w:t>
      </w:r>
      <w:r>
        <w:t xml:space="preserve"> </w:t>
      </w:r>
      <w:r>
        <w:rPr>
          <w:b/>
          <w:bCs/>
        </w:rPr>
        <w:t xml:space="preserve">Law on Social Insurance 41/2024/QH15</w:t>
      </w:r>
      <w:r>
        <w:t xml:space="preserve">, while the</w:t>
      </w:r>
      <w:r>
        <w:t xml:space="preserve"> </w:t>
      </w:r>
      <w:r>
        <w:t xml:space="preserve">base salary has not been abolished, the</w:t>
      </w:r>
      <w:r>
        <w:t xml:space="preserve"> </w:t>
      </w:r>
      <w:r>
        <w:t xml:space="preserve">“reference level”</w:t>
      </w:r>
      <w:r>
        <w:t xml:space="preserve"> </w:t>
      </w:r>
      <w:r>
        <w:t xml:space="preserve">equals it.</w:t>
      </w:r>
    </w:p>
    <w:p>
      <w:pPr>
        <w:pStyle w:val="BodyText"/>
      </w:pPr>
      <w:r>
        <w:rPr>
          <w:b/>
          <w:bCs/>
        </w:rPr>
        <w:t xml:space="preserve">2026 contribution rates</w:t>
      </w:r>
      <w:r>
        <w:t xml:space="preserve">: employer</w:t>
      </w:r>
      <w:r>
        <w:t xml:space="preserve"> </w:t>
      </w:r>
      <w:r>
        <w:rPr>
          <w:b/>
          <w:bCs/>
        </w:rPr>
        <w:t xml:space="preserve">21.5%</w:t>
      </w:r>
      <w:r>
        <w:t xml:space="preserve">, employee</w:t>
      </w:r>
      <w:r>
        <w:t xml:space="preserve"> </w:t>
      </w:r>
      <w:r>
        <w:rPr>
          <w:b/>
          <w:bCs/>
        </w:rPr>
        <w:t xml:space="preserve">10.5%</w:t>
      </w:r>
      <w:r>
        <w:t xml:space="preserve">,</w:t>
      </w:r>
      <w:r>
        <w:t xml:space="preserve"> </w:t>
      </w:r>
      <w:r>
        <w:rPr>
          <w:b/>
          <w:bCs/>
        </w:rPr>
        <w:t xml:space="preserve">32%</w:t>
      </w:r>
      <w:r>
        <w:t xml:space="preserve"> </w:t>
      </w:r>
      <w:r>
        <w:t xml:space="preserve">combined.</w:t>
      </w:r>
    </w:p>
    <w:p>
      <w:pPr>
        <w:pStyle w:val="BlockText"/>
      </w:pPr>
      <w:r>
        <w:rPr>
          <w:b/>
          <w:bCs/>
        </w:rPr>
        <w:t xml:space="preserve">Using the old figure understates the ceiling by about 8%.</w:t>
      </w:r>
      <w:r>
        <w:t xml:space="preserve"> </w:t>
      </w:r>
      <w:r>
        <w:t xml:space="preserve">Older material almost</w:t>
      </w:r>
      <w:r>
        <w:t xml:space="preserve"> </w:t>
      </w:r>
      <w:r>
        <w:t xml:space="preserve">universally still carries VND 2,340,000. Both VND 2,530,000 and VND 50,600,000 are confirmed</w:t>
      </w:r>
      <w:r>
        <w:t xml:space="preserve"> </w:t>
      </w:r>
      <w:r>
        <w:t xml:space="preserve">by the</w:t>
      </w:r>
      <w:r>
        <w:t xml:space="preserve"> </w:t>
      </w:r>
      <w:r>
        <w:rPr>
          <w:b/>
          <w:bCs/>
        </w:rPr>
        <w:t xml:space="preserve">Vietnam Social Security portal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〔Unconfirmed〕</w:t>
      </w:r>
      <w:r>
        <w:t xml:space="preserve"> </w:t>
      </w:r>
      <w:r>
        <w:t xml:space="preserve">the number of the instrument setting VND 2,530,000: the official Social</w:t>
      </w:r>
      <w:r>
        <w:t xml:space="preserve"> </w:t>
      </w:r>
      <w:r>
        <w:t xml:space="preserve">Security article cites only the Law on Social Insurance 2024 and gives no decree number.</w:t>
      </w:r>
      <w:r>
        <w:t xml:space="preserve"> </w:t>
      </w:r>
      <w:r>
        <w:rPr>
          <w:b/>
          <w:bCs/>
        </w:rPr>
        <w:t xml:space="preserve">This note therefore states the amount and effective date without a citation number.</w:t>
      </w:r>
    </w:p>
    <w:bookmarkEnd w:id="15"/>
    <w:bookmarkStart w:id="16" w:name="X88590926951df2725d9806db4de4600a78f23b1"/>
    <w:p>
      <w:pPr>
        <w:pStyle w:val="Heading3"/>
      </w:pPr>
      <w:r>
        <w:t xml:space="preserve">2.7. Regional minimum wages: up 7.2% from 1 January 2026</w:t>
      </w:r>
    </w:p>
    <w:p>
      <w:pPr>
        <w:pStyle w:val="FirstParagraph"/>
      </w:pPr>
      <w:r>
        <w:t xml:space="preserve">Under</w:t>
      </w:r>
      <w:r>
        <w:t xml:space="preserve"> </w:t>
      </w:r>
      <w:r>
        <w:rPr>
          <w:b/>
          <w:bCs/>
        </w:rPr>
        <w:t xml:space="preserve">Decree 293/2025/NĐ-CP</w:t>
      </w:r>
      <w:r>
        <w:t xml:space="preserve"> </w:t>
      </w:r>
      <w:r>
        <w:t xml:space="preserve">(replacing Decree 74/2024/NĐ-CP):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Region</w:t>
            </w:r>
          </w:p>
        </w:tc>
        <w:tc>
          <w:tcPr/>
          <w:p>
            <w:pPr>
              <w:pStyle w:val="Compact"/>
            </w:pPr>
            <w:r>
              <w:t xml:space="preserve">Monthly (VND)</w:t>
            </w:r>
          </w:p>
        </w:tc>
        <w:tc>
          <w:tcPr/>
          <w:p>
            <w:pPr>
              <w:pStyle w:val="Compact"/>
            </w:pPr>
            <w:r>
              <w:t xml:space="preserve">Hourly (VND)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Region I</w:t>
            </w:r>
          </w:p>
        </w:tc>
        <w:tc>
          <w:tcPr/>
          <w:p>
            <w:pPr>
              <w:pStyle w:val="Compact"/>
            </w:pPr>
            <w:r>
              <w:t xml:space="preserve">5,310,000</w:t>
            </w:r>
          </w:p>
        </w:tc>
        <w:tc>
          <w:tcPr/>
          <w:p>
            <w:pPr>
              <w:pStyle w:val="Compact"/>
            </w:pPr>
            <w:r>
              <w:t xml:space="preserve">25,500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Region II</w:t>
            </w:r>
          </w:p>
        </w:tc>
        <w:tc>
          <w:tcPr/>
          <w:p>
            <w:pPr>
              <w:pStyle w:val="Compact"/>
            </w:pPr>
            <w:r>
              <w:t xml:space="preserve">4,730,000</w:t>
            </w:r>
          </w:p>
        </w:tc>
        <w:tc>
          <w:tcPr/>
          <w:p>
            <w:pPr>
              <w:pStyle w:val="Compact"/>
            </w:pPr>
            <w:r>
              <w:t xml:space="preserve">22,700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Region III</w:t>
            </w:r>
          </w:p>
        </w:tc>
        <w:tc>
          <w:tcPr/>
          <w:p>
            <w:pPr>
              <w:pStyle w:val="Compact"/>
            </w:pPr>
            <w:r>
              <w:t xml:space="preserve">4,140,000</w:t>
            </w:r>
          </w:p>
        </w:tc>
        <w:tc>
          <w:tcPr/>
          <w:p>
            <w:pPr>
              <w:pStyle w:val="Compact"/>
            </w:pPr>
            <w:r>
              <w:t xml:space="preserve">20,000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Region IV</w:t>
            </w:r>
          </w:p>
        </w:tc>
        <w:tc>
          <w:tcPr/>
          <w:p>
            <w:pPr>
              <w:pStyle w:val="Compact"/>
            </w:pPr>
            <w:r>
              <w:t xml:space="preserve">3,700,000</w:t>
            </w:r>
          </w:p>
        </w:tc>
        <w:tc>
          <w:tcPr/>
          <w:p>
            <w:pPr>
              <w:pStyle w:val="Compact"/>
            </w:pPr>
            <w:r>
              <w:t xml:space="preserve">17,800</w:t>
            </w:r>
          </w:p>
        </w:tc>
      </w:tr>
    </w:tbl>
    <w:p>
      <w:pPr>
        <w:pStyle w:val="BlockText"/>
      </w:pPr>
      <w:r>
        <w:rPr>
          <w:b/>
          <w:bCs/>
        </w:rPr>
        <w:t xml:space="preserve">Knock-on effect</w:t>
      </w:r>
      <w:r>
        <w:t xml:space="preserve">: the monthly wage used for compulsory social insurance</w:t>
      </w:r>
      <w:r>
        <w:t xml:space="preserve"> </w:t>
      </w:r>
      <w:r>
        <w:rPr>
          <w:b/>
          <w:bCs/>
        </w:rPr>
        <w:t xml:space="preserve">may not be</w:t>
      </w:r>
      <w:r>
        <w:rPr>
          <w:b/>
          <w:bCs/>
        </w:rPr>
        <w:t xml:space="preserve"> </w:t>
      </w:r>
      <w:r>
        <w:rPr>
          <w:b/>
          <w:bCs/>
        </w:rPr>
        <w:t xml:space="preserve">lower than the regional minimum wage</w:t>
      </w:r>
      <w:r>
        <w:t xml:space="preserve"> </w:t>
      </w:r>
      <w:r>
        <w:t xml:space="preserve">in force at the time of contribution (point 2.6 of</w:t>
      </w:r>
      <w:r>
        <w:t xml:space="preserve"> </w:t>
      </w:r>
      <w:r>
        <w:t xml:space="preserve">Article 6.2 of the Procedure issued with Decision 595/QĐ-BHXH). So when the minimum wage</w:t>
      </w:r>
      <w:r>
        <w:t xml:space="preserve"> </w:t>
      </w:r>
      <w:r>
        <w:t xml:space="preserve">moves, the contribution base for employees near the floor</w:t>
      </w:r>
      <w:r>
        <w:t xml:space="preserve"> </w:t>
      </w:r>
      <w:r>
        <w:rPr>
          <w:b/>
          <w:bCs/>
        </w:rPr>
        <w:t xml:space="preserve">must move with it</w:t>
      </w:r>
      <w:r>
        <w:t xml:space="preserve">.</w:t>
      </w:r>
    </w:p>
    <w:bookmarkEnd w:id="16"/>
    <w:bookmarkStart w:id="17" w:name="Xf925013bd348dc558d577f85fb6a6342d777274"/>
    <w:p>
      <w:pPr>
        <w:pStyle w:val="Heading3"/>
      </w:pPr>
      <w:r>
        <w:t xml:space="preserve">2.8. Foreign contractor tax: the corporate income tax provisions of the old circular are repealed</w:t>
      </w:r>
    </w:p>
    <w:p>
      <w:pPr>
        <w:pStyle w:val="FirstParagraph"/>
      </w:pPr>
      <w:r>
        <w:rPr>
          <w:b/>
          <w:bCs/>
        </w:rPr>
        <w:t xml:space="preserve">Circular 20/2026/TT-BTC</w:t>
      </w:r>
      <w:r>
        <w:t xml:space="preserve"> </w:t>
      </w:r>
      <w:r>
        <w:t xml:space="preserve">(12 March 2026)</w:t>
      </w:r>
      <w:r>
        <w:t xml:space="preserve"> </w:t>
      </w:r>
      <w:r>
        <w:rPr>
          <w:b/>
          <w:bCs/>
        </w:rPr>
        <w:t xml:space="preserve">repealed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corporate income tax</w:t>
      </w:r>
      <w:r>
        <w:rPr>
          <w:b/>
          <w:bCs/>
        </w:rPr>
        <w:t xml:space="preserve"> </w:t>
      </w:r>
      <w:r>
        <w:rPr>
          <w:b/>
          <w:bCs/>
        </w:rPr>
        <w:t xml:space="preserve">provisions for foreign contractors</w:t>
      </w:r>
      <w:r>
        <w:t xml:space="preserve"> </w:t>
      </w:r>
      <w:r>
        <w:t xml:space="preserve">in Articles 1, 2, 7, 10, 13 (except point 6.11 of</w:t>
      </w:r>
      <w:r>
        <w:t xml:space="preserve"> </w:t>
      </w:r>
      <w:r>
        <w:t xml:space="preserve">clause 1 of Article 13) and 16 of Circular 103/2014/TT-BTC, and replaced Circulars 78/2014</w:t>
      </w:r>
      <w:r>
        <w:t xml:space="preserve"> </w:t>
      </w:r>
      <w:r>
        <w:t xml:space="preserve">and 96/2015.</w:t>
      </w:r>
    </w:p>
    <w:p>
      <w:pPr>
        <w:pStyle w:val="BodyText"/>
      </w:pPr>
      <w:r>
        <w:rPr>
          <w:b/>
          <w:bCs/>
        </w:rPr>
        <w:t xml:space="preserve">Transitional rule</w:t>
      </w:r>
      <w:r>
        <w:t xml:space="preserve">: contractor and subcontractor agreements concluded</w:t>
      </w:r>
      <w:r>
        <w:t xml:space="preserve"> </w:t>
      </w:r>
      <w:r>
        <w:rPr>
          <w:b/>
          <w:bCs/>
        </w:rPr>
        <w:t xml:space="preserve">before</w:t>
      </w:r>
      <w:r>
        <w:rPr>
          <w:b/>
          <w:bCs/>
        </w:rPr>
        <w:t xml:space="preserve"> </w:t>
      </w:r>
      <w:r>
        <w:rPr>
          <w:b/>
          <w:bCs/>
        </w:rPr>
        <w:t xml:space="preserve">12 March 2026</w:t>
      </w:r>
      <w:r>
        <w:t xml:space="preserve"> </w:t>
      </w:r>
      <w:r>
        <w:t xml:space="preserve">and performed under the mixed method of Circular 103/2014 continue to be</w:t>
      </w:r>
      <w:r>
        <w:t xml:space="preserve"> </w:t>
      </w:r>
      <w:r>
        <w:t xml:space="preserve">governed by the law in force at the time of signing.</w:t>
      </w:r>
    </w:p>
    <w:p>
      <w:pPr>
        <w:pStyle w:val="BlockText"/>
      </w:pPr>
      <w:r>
        <w:rPr>
          <w:b/>
          <w:bCs/>
        </w:rPr>
        <w:t xml:space="preserve">〔No rate table in this note〕</w:t>
      </w:r>
      <w:r>
        <w:t xml:space="preserve"> </w:t>
      </w:r>
      <w:r>
        <w:t xml:space="preserve">The sector-by-sector contractor rates currently findable</w:t>
      </w:r>
      <w:r>
        <w:t xml:space="preserve"> </w:t>
      </w:r>
      <w:r>
        <w:t xml:space="preserve">come from commercial accounting firms’ websites — a secondary source, parts of which may</w:t>
      </w:r>
      <w:r>
        <w:t xml:space="preserve"> </w:t>
      </w:r>
      <w:r>
        <w:t xml:space="preserve">still reflect the repealed regime.</w:t>
      </w:r>
      <w:r>
        <w:t xml:space="preserve"> </w:t>
      </w:r>
      <w:r>
        <w:rPr>
          <w:b/>
          <w:bCs/>
        </w:rPr>
        <w:t xml:space="preserve">They are not reproduced pending verification against</w:t>
      </w:r>
      <w:r>
        <w:rPr>
          <w:b/>
          <w:bCs/>
        </w:rPr>
        <w:t xml:space="preserve"> </w:t>
      </w:r>
      <w:r>
        <w:rPr>
          <w:b/>
          <w:bCs/>
        </w:rPr>
        <w:t xml:space="preserve">the primary text</w:t>
      </w:r>
      <w:r>
        <w:t xml:space="preserve">; rely on the circular or on a tax adviser.</w:t>
      </w:r>
    </w:p>
    <w:bookmarkEnd w:id="17"/>
    <w:bookmarkStart w:id="18" w:name="e-invoicing-decree-702025nđ-cp"/>
    <w:p>
      <w:pPr>
        <w:pStyle w:val="Heading3"/>
      </w:pPr>
      <w:r>
        <w:t xml:space="preserve">2.9. E-invoicing: Decree 70/2025/NĐ-CP</w:t>
      </w:r>
    </w:p>
    <w:p>
      <w:pPr>
        <w:pStyle w:val="FirstParagraph"/>
      </w:pPr>
      <w:r>
        <w:t xml:space="preserve">Issued 20 March 2025,</w:t>
      </w:r>
      <w:r>
        <w:t xml:space="preserve"> </w:t>
      </w:r>
      <w:r>
        <w:rPr>
          <w:b/>
          <w:bCs/>
        </w:rPr>
        <w:t xml:space="preserve">effective 1 June 2025</w:t>
      </w:r>
      <w:r>
        <w:t xml:space="preserve">, amending</w:t>
      </w:r>
      <w:r>
        <w:t xml:space="preserve"> </w:t>
      </w:r>
      <w:r>
        <w:rPr>
          <w:b/>
          <w:bCs/>
        </w:rPr>
        <w:t xml:space="preserve">40 of the 61 articles of Decree</w:t>
      </w:r>
      <w:r>
        <w:rPr>
          <w:b/>
          <w:bCs/>
        </w:rPr>
        <w:t xml:space="preserve"> </w:t>
      </w:r>
      <w:r>
        <w:rPr>
          <w:b/>
          <w:bCs/>
        </w:rPr>
        <w:t xml:space="preserve">123/2020/NĐ-CP</w:t>
      </w:r>
      <w:r>
        <w:t xml:space="preserve">. Three points bear directly on daily practice: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Time of issuance</w:t>
      </w:r>
      <w:r>
        <w:t xml:space="preserve"> </w:t>
      </w:r>
      <w:r>
        <w:t xml:space="preserve">for a sale of goods is</w:t>
      </w:r>
      <w:r>
        <w:t xml:space="preserve"> </w:t>
      </w:r>
      <w:r>
        <w:rPr>
          <w:b/>
          <w:bCs/>
        </w:rPr>
        <w:t xml:space="preserve">when ownership or the right of use passes to</w:t>
      </w:r>
      <w:r>
        <w:rPr>
          <w:b/>
          <w:bCs/>
        </w:rPr>
        <w:t xml:space="preserve"> </w:t>
      </w:r>
      <w:r>
        <w:rPr>
          <w:b/>
          <w:bCs/>
        </w:rPr>
        <w:t xml:space="preserve">the buyer, whether or not payment has been received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Delegated issuance</w:t>
      </w:r>
      <w:r>
        <w:t xml:space="preserve">: a seller (including business households and individual traders)</w:t>
      </w:r>
      <w:r>
        <w:t xml:space="preserve"> </w:t>
      </w:r>
      <w:r>
        <w:t xml:space="preserve">may authorise a third party to issue electronic invoices;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Correcting an incorrect invoice</w:t>
      </w:r>
      <w:r>
        <w:t xml:space="preserve">: before adjusting or replacing one issued in error,</w:t>
      </w:r>
      <w:r>
        <w:t xml:space="preserve"> </w:t>
      </w:r>
      <w:r>
        <w:t xml:space="preserve">seller and buyer</w:t>
      </w:r>
      <w:r>
        <w:t xml:space="preserve"> </w:t>
      </w:r>
      <w:r>
        <w:rPr>
          <w:b/>
          <w:bCs/>
        </w:rPr>
        <w:t xml:space="preserve">must first have a written agreement</w:t>
      </w:r>
      <w:r>
        <w:t xml:space="preserve"> </w:t>
      </w:r>
      <w:r>
        <w:t xml:space="preserve">identifying the error.</w:t>
      </w:r>
    </w:p>
    <w:bookmarkEnd w:id="18"/>
    <w:bookmarkStart w:id="19" w:name="X9c6a6f5e33dee71f4e118fbdb2adc38deb709ae"/>
    <w:p>
      <w:pPr>
        <w:pStyle w:val="Heading3"/>
      </w:pPr>
      <w:r>
        <w:t xml:space="preserve">2.10. Administrative reform: Planning and Investment merged into Finance</w:t>
      </w:r>
    </w:p>
    <w:p>
      <w:pPr>
        <w:pStyle w:val="FirstParagraph"/>
      </w:pPr>
      <w:r>
        <w:t xml:space="preserve">The provincial</w:t>
      </w:r>
      <w:r>
        <w:t xml:space="preserve"> </w:t>
      </w:r>
      <w:r>
        <w:rPr>
          <w:b/>
          <w:bCs/>
        </w:rPr>
        <w:t xml:space="preserve">Department of Planning and Investment has been merged into the Department of</w:t>
      </w:r>
      <w:r>
        <w:rPr>
          <w:b/>
          <w:bCs/>
        </w:rPr>
        <w:t xml:space="preserve"> </w:t>
      </w:r>
      <w:r>
        <w:rPr>
          <w:b/>
          <w:bCs/>
        </w:rPr>
        <w:t xml:space="preserve">Finance</w:t>
      </w:r>
      <w:r>
        <w:t xml:space="preserve">; business registration is now handled by the</w:t>
      </w:r>
      <w:r>
        <w:t xml:space="preserve"> </w:t>
      </w:r>
      <w:r>
        <w:rPr>
          <w:b/>
          <w:bCs/>
        </w:rPr>
        <w:t xml:space="preserve">Business Registration and Corporate</w:t>
      </w:r>
      <w:r>
        <w:rPr>
          <w:b/>
          <w:bCs/>
        </w:rPr>
        <w:t xml:space="preserve"> </w:t>
      </w:r>
      <w:r>
        <w:rPr>
          <w:b/>
          <w:bCs/>
        </w:rPr>
        <w:t xml:space="preserve">Finance Division</w:t>
      </w:r>
      <w:r>
        <w:t xml:space="preserve"> </w:t>
      </w:r>
      <w:r>
        <w:t xml:space="preserve">of the Department of Finance.</w:t>
      </w:r>
    </w:p>
    <w:p>
      <w:pPr>
        <w:pStyle w:val="BlockText"/>
      </w:pPr>
      <w:r>
        <w:t xml:space="preserve">This is not a tax change, but</w:t>
      </w:r>
      <w:r>
        <w:t xml:space="preserve"> </w:t>
      </w:r>
      <w:r>
        <w:rPr>
          <w:b/>
          <w:bCs/>
        </w:rPr>
        <w:t xml:space="preserve">it changes where you go to file</w:t>
      </w:r>
      <w:r>
        <w:t xml:space="preserve">. Chinese-language material</w:t>
      </w:r>
      <w:r>
        <w:t xml:space="preserve"> </w:t>
      </w:r>
      <w:r>
        <w:t xml:space="preserve">from before 2025 almost always still says</w:t>
      </w:r>
      <w:r>
        <w:t xml:space="preserve"> </w:t>
      </w:r>
      <w:r>
        <w:t xml:space="preserve">“Department of Planning and Investment”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19"/>
    <w:bookmarkEnd w:id="20"/>
    <w:bookmarkStart w:id="21" w:name="iii.-by-role-what-you-need-to-change"/>
    <w:p>
      <w:pPr>
        <w:pStyle w:val="Heading2"/>
      </w:pPr>
      <w:r>
        <w:t xml:space="preserve">III. By role: what you need to change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If you are</w:t>
            </w:r>
          </w:p>
        </w:tc>
        <w:tc>
          <w:tcPr/>
          <w:p>
            <w:pPr>
              <w:pStyle w:val="Compact"/>
            </w:pPr>
            <w:r>
              <w:t xml:space="preserve">What to re-check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Finance at a company in Vietnam</w:t>
            </w:r>
          </w:p>
        </w:tc>
        <w:tc>
          <w:tcPr/>
          <w:p>
            <w:pPr>
              <w:pStyle w:val="Compact"/>
            </w:pPr>
            <w:r>
              <w:t xml:space="preserve">Which CIT band applies (do you reach 15%/17%) · the expiry date of the 8% VAT rate · time of invoice issuance · stop declaring the business licence fee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HR / payroll</w:t>
            </w:r>
          </w:p>
        </w:tc>
        <w:tc>
          <w:tcPr/>
          <w:p>
            <w:pPr>
              <w:pStyle w:val="Compact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five-band table and new deductions</w:t>
            </w:r>
            <w:r>
              <w:t xml:space="preserve"> </w:t>
            </w:r>
            <w:r>
              <w:t xml:space="preserve">in payroll (switch by tax year, not on 1 July) · the social insurance floor and ceiling · the base increase that follows the minimum wage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Individual landlord / business household</w:t>
            </w:r>
          </w:p>
        </w:tc>
        <w:tc>
          <w:tcPr/>
          <w:p>
            <w:pPr>
              <w:pStyle w:val="Compact"/>
            </w:pPr>
            <w:r>
              <w:t xml:space="preserve">Whether annual revenue is below</w:t>
            </w:r>
            <w:r>
              <w:t xml:space="preserve"> </w:t>
            </w:r>
            <w:r>
              <w:rPr>
                <w:b/>
                <w:bCs/>
              </w:rPr>
              <w:t xml:space="preserve">VND 500 million</w:t>
            </w:r>
            <w:r>
              <w:t xml:space="preserve"> </w:t>
            </w:r>
            <w:r>
              <w:t xml:space="preserve">(exempt, but still must file) · the presumptive method is gone, self-declaration applies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Planning to incorporate</w:t>
            </w:r>
          </w:p>
        </w:tc>
        <w:tc>
          <w:tcPr/>
          <w:p>
            <w:pPr>
              <w:pStyle w:val="Compact"/>
            </w:pPr>
            <w:r>
              <w:t xml:space="preserve">No more business licence fee · the receiving authority is now a division of the Department of Finance · the initial tax declaration is still due within</w:t>
            </w:r>
            <w:r>
              <w:t xml:space="preserve"> </w:t>
            </w:r>
            <w:r>
              <w:rPr>
                <w:b/>
                <w:bCs/>
              </w:rPr>
              <w:t xml:space="preserve">10 days</w:t>
            </w:r>
            <w:r>
              <w:t xml:space="preserve"> </w:t>
            </w:r>
            <w:r>
              <w:t xml:space="preserve">of the ERC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Contracting with foreign suppliers</w:t>
            </w:r>
          </w:p>
        </w:tc>
        <w:tc>
          <w:tcPr/>
          <w:p>
            <w:pPr>
              <w:pStyle w:val="Compact"/>
            </w:pPr>
            <w:r>
              <w:t xml:space="preserve">The old contractor-tax basis is partly repealed; note the 12 March 2026 transitional line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1"/>
    <w:bookmarkStart w:id="22" w:name="iv.-legal-basis-referenced"/>
    <w:p>
      <w:pPr>
        <w:pStyle w:val="Heading2"/>
      </w:pPr>
      <w:r>
        <w:t xml:space="preserve">IV. Legal Basis Referenced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Topic</w:t>
            </w:r>
          </w:p>
        </w:tc>
        <w:tc>
          <w:tcPr/>
          <w:p>
            <w:pPr>
              <w:pStyle w:val="Compact"/>
            </w:pPr>
            <w:r>
              <w:t xml:space="preserve">Basis</w:t>
            </w:r>
          </w:p>
        </w:tc>
        <w:tc>
          <w:tcPr/>
          <w:p>
            <w:pPr>
              <w:pStyle w:val="Compact"/>
            </w:pPr>
            <w:r>
              <w:t xml:space="preserve">Effective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Abolition of the business licence fee</w:t>
            </w:r>
          </w:p>
        </w:tc>
        <w:tc>
          <w:tcPr/>
          <w:p>
            <w:pPr>
              <w:pStyle w:val="Compact"/>
            </w:pPr>
            <w:r>
              <w:t xml:space="preserve">Article 10, Resolution</w:t>
            </w:r>
            <w:r>
              <w:t xml:space="preserve"> </w:t>
            </w:r>
            <w:r>
              <w:rPr>
                <w:b/>
                <w:bCs/>
              </w:rPr>
              <w:t xml:space="preserve">198/2025/QH15</w:t>
            </w:r>
          </w:p>
        </w:tc>
        <w:tc>
          <w:tcPr/>
          <w:p>
            <w:pPr>
              <w:pStyle w:val="Compact"/>
            </w:pPr>
            <w:r>
              <w:t xml:space="preserve">01/01/2026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Corporate income tax</w:t>
            </w:r>
          </w:p>
        </w:tc>
        <w:tc>
          <w:tcPr/>
          <w:p>
            <w:pPr>
              <w:pStyle w:val="Compact"/>
            </w:pPr>
            <w:r>
              <w:t xml:space="preserve">Law</w:t>
            </w:r>
            <w:r>
              <w:t xml:space="preserve"> </w:t>
            </w:r>
            <w:r>
              <w:rPr>
                <w:b/>
                <w:bCs/>
              </w:rPr>
              <w:t xml:space="preserve">67/2025/QH15</w:t>
            </w:r>
          </w:p>
        </w:tc>
        <w:tc>
          <w:tcPr/>
          <w:p>
            <w:pPr>
              <w:pStyle w:val="Compact"/>
            </w:pPr>
            <w:r>
              <w:t xml:space="preserve">01/10/2025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VAT and the 8% reduction</w:t>
            </w:r>
          </w:p>
        </w:tc>
        <w:tc>
          <w:tcPr/>
          <w:p>
            <w:pPr>
              <w:pStyle w:val="Compact"/>
            </w:pPr>
            <w:r>
              <w:t xml:space="preserve">Law</w:t>
            </w:r>
            <w:r>
              <w:t xml:space="preserve"> </w:t>
            </w:r>
            <w:r>
              <w:rPr>
                <w:b/>
                <w:bCs/>
              </w:rPr>
              <w:t xml:space="preserve">48/2024/QH15</w:t>
            </w:r>
            <w:r>
              <w:t xml:space="preserve"> </w:t>
            </w:r>
            <w:r>
              <w:t xml:space="preserve">· Resolution</w:t>
            </w:r>
            <w:r>
              <w:t xml:space="preserve"> </w:t>
            </w:r>
            <w:r>
              <w:rPr>
                <w:b/>
                <w:bCs/>
              </w:rPr>
              <w:t xml:space="preserve">204/2025/QH15</w:t>
            </w:r>
            <w:r>
              <w:t xml:space="preserve"> </w:t>
            </w:r>
            <w:r>
              <w:t xml:space="preserve">· Decree</w:t>
            </w:r>
            <w:r>
              <w:t xml:space="preserve"> </w:t>
            </w:r>
            <w:r>
              <w:rPr>
                <w:b/>
                <w:bCs/>
              </w:rPr>
              <w:t xml:space="preserve">174/2025/NĐ-CP</w:t>
            </w:r>
          </w:p>
        </w:tc>
        <w:tc>
          <w:tcPr/>
          <w:p>
            <w:pPr>
              <w:pStyle w:val="Compact"/>
            </w:pPr>
            <w:r>
              <w:t xml:space="preserve">01/07/2025 – 31/12/2026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New Law on Personal Income Tax</w:t>
            </w:r>
          </w:p>
        </w:tc>
        <w:tc>
          <w:tcPr/>
          <w:p>
            <w:pPr>
              <w:pStyle w:val="Compact"/>
            </w:pPr>
            <w:r>
              <w:t xml:space="preserve">Law</w:t>
            </w:r>
            <w:r>
              <w:t xml:space="preserve"> </w:t>
            </w:r>
            <w:r>
              <w:rPr>
                <w:b/>
                <w:bCs/>
              </w:rPr>
              <w:t xml:space="preserve">109/2025/QH15</w:t>
            </w:r>
            <w:r>
              <w:t xml:space="preserve"> </w:t>
            </w:r>
            <w:r>
              <w:t xml:space="preserve">(Articles 9, 10)</w:t>
            </w:r>
          </w:p>
        </w:tc>
        <w:tc>
          <w:tcPr/>
          <w:p>
            <w:pPr>
              <w:pStyle w:val="Compact"/>
            </w:pPr>
            <w:r>
              <w:t xml:space="preserve">01/07/2026 (employment income from the 2026 tax year)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Family deductions</w:t>
            </w:r>
          </w:p>
        </w:tc>
        <w:tc>
          <w:tcPr/>
          <w:p>
            <w:pPr>
              <w:pStyle w:val="Compact"/>
            </w:pPr>
            <w:r>
              <w:t xml:space="preserve">Resolution</w:t>
            </w:r>
            <w:r>
              <w:t xml:space="preserve"> </w:t>
            </w:r>
            <w:r>
              <w:rPr>
                <w:b/>
                <w:bCs/>
              </w:rPr>
              <w:t xml:space="preserve">110/2025/UBTVQH15</w:t>
            </w:r>
          </w:p>
        </w:tc>
        <w:tc>
          <w:tcPr/>
          <w:p>
            <w:pPr>
              <w:pStyle w:val="Compact"/>
            </w:pPr>
            <w:r>
              <w:t xml:space="preserve">01/01/2026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Threshold and abolition of the presumptive method</w:t>
            </w:r>
          </w:p>
        </w:tc>
        <w:tc>
          <w:tcPr/>
          <w:p>
            <w:pPr>
              <w:pStyle w:val="Compact"/>
            </w:pPr>
            <w:r>
              <w:t xml:space="preserve">Amended Law on Personal Income Tax</w:t>
            </w:r>
          </w:p>
        </w:tc>
        <w:tc>
          <w:tcPr/>
          <w:p>
            <w:pPr>
              <w:pStyle w:val="Compact"/>
            </w:pPr>
            <w:r>
              <w:t xml:space="preserve">01/01/2026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Social insurance rates and base</w:t>
            </w:r>
          </w:p>
        </w:tc>
        <w:tc>
          <w:tcPr/>
          <w:p>
            <w:pPr>
              <w:pStyle w:val="Compact"/>
            </w:pPr>
            <w:r>
              <w:t xml:space="preserve">Law</w:t>
            </w:r>
            <w:r>
              <w:t xml:space="preserve"> </w:t>
            </w:r>
            <w:r>
              <w:rPr>
                <w:b/>
                <w:bCs/>
              </w:rPr>
              <w:t xml:space="preserve">41/2024/QH15</w:t>
            </w:r>
            <w:r>
              <w:t xml:space="preserve"> </w:t>
            </w:r>
            <w:r>
              <w:t xml:space="preserve">(Articles 32–34, 141)</w:t>
            </w:r>
          </w:p>
        </w:tc>
        <w:tc>
          <w:tcPr/>
          <w:p>
            <w:pPr>
              <w:pStyle w:val="Compact"/>
            </w:pPr>
            <w:r>
              <w:t xml:space="preserve">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Regional minimum wages</w:t>
            </w:r>
          </w:p>
        </w:tc>
        <w:tc>
          <w:tcPr/>
          <w:p>
            <w:pPr>
              <w:pStyle w:val="Compact"/>
            </w:pPr>
            <w:r>
              <w:t xml:space="preserve">Decree</w:t>
            </w:r>
            <w:r>
              <w:t xml:space="preserve"> </w:t>
            </w:r>
            <w:r>
              <w:rPr>
                <w:b/>
                <w:bCs/>
              </w:rPr>
              <w:t xml:space="preserve">293/2025/NĐ-CP</w:t>
            </w:r>
          </w:p>
        </w:tc>
        <w:tc>
          <w:tcPr/>
          <w:p>
            <w:pPr>
              <w:pStyle w:val="Compact"/>
            </w:pPr>
            <w:r>
              <w:t xml:space="preserve">01/01/2026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Minimum-wage floor on the contribution base</w:t>
            </w:r>
          </w:p>
        </w:tc>
        <w:tc>
          <w:tcPr/>
          <w:p>
            <w:pPr>
              <w:pStyle w:val="Compact"/>
            </w:pPr>
            <w:r>
              <w:t xml:space="preserve">Decision</w:t>
            </w:r>
            <w:r>
              <w:t xml:space="preserve"> </w:t>
            </w:r>
            <w:r>
              <w:rPr>
                <w:b/>
                <w:bCs/>
              </w:rPr>
              <w:t xml:space="preserve">595/QĐ-BHXH</w:t>
            </w:r>
            <w:r>
              <w:t xml:space="preserve">, Procedure 6.2.6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Foreign contractor tax</w:t>
            </w:r>
          </w:p>
        </w:tc>
        <w:tc>
          <w:tcPr/>
          <w:p>
            <w:pPr>
              <w:pStyle w:val="Compact"/>
            </w:pPr>
            <w:r>
              <w:t xml:space="preserve">Circular</w:t>
            </w:r>
            <w:r>
              <w:t xml:space="preserve"> </w:t>
            </w:r>
            <w:r>
              <w:rPr>
                <w:b/>
                <w:bCs/>
              </w:rPr>
              <w:t xml:space="preserve">20/2026/TT-BTC</w:t>
            </w:r>
            <w:r>
              <w:t xml:space="preserve"> </w:t>
            </w:r>
            <w:r>
              <w:t xml:space="preserve">· Circular</w:t>
            </w:r>
            <w:r>
              <w:t xml:space="preserve"> </w:t>
            </w:r>
            <w:r>
              <w:rPr>
                <w:b/>
                <w:bCs/>
              </w:rPr>
              <w:t xml:space="preserve">69/2025/TT-BTC</w:t>
            </w:r>
          </w:p>
        </w:tc>
        <w:tc>
          <w:tcPr/>
          <w:p>
            <w:pPr>
              <w:pStyle w:val="Compact"/>
            </w:pPr>
            <w:r>
              <w:t xml:space="preserve">12/03/2026 / 01/07/2025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E-invoicing</w:t>
            </w:r>
          </w:p>
        </w:tc>
        <w:tc>
          <w:tcPr/>
          <w:p>
            <w:pPr>
              <w:pStyle w:val="Compact"/>
            </w:pPr>
            <w:r>
              <w:t xml:space="preserve">Decree</w:t>
            </w:r>
            <w:r>
              <w:t xml:space="preserve"> </w:t>
            </w:r>
            <w:r>
              <w:rPr>
                <w:b/>
                <w:bCs/>
              </w:rPr>
              <w:t xml:space="preserve">70/2025/NĐ-CP</w:t>
            </w:r>
          </w:p>
        </w:tc>
        <w:tc>
          <w:tcPr/>
          <w:p>
            <w:pPr>
              <w:pStyle w:val="Compact"/>
            </w:pPr>
            <w:r>
              <w:t xml:space="preserve">01/06/2025</w:t>
            </w:r>
          </w:p>
        </w:tc>
      </w:tr>
    </w:tbl>
    <w:p>
      <w:pPr>
        <w:pStyle w:val="BodyText"/>
      </w:pPr>
      <w:r>
        <w:rPr>
          <w:b/>
          <w:bCs/>
        </w:rPr>
        <w:t xml:space="preserve">Legal verification date</w:t>
      </w:r>
      <w:r>
        <w:t xml:space="preserve">: 18 September 2026.</w:t>
      </w:r>
    </w:p>
    <w:p>
      <w:r>
        <w:pict>
          <v:rect style="width:0;height:1.5pt" o:hralign="center" o:hrstd="t" o:hr="t"/>
        </w:pict>
      </w:r>
    </w:p>
    <w:bookmarkEnd w:id="22"/>
    <w:bookmarkStart w:id="23" w:name="v.-how-to-use-this-note-and-its-limits"/>
    <w:p>
      <w:pPr>
        <w:pStyle w:val="Heading2"/>
      </w:pPr>
      <w:r>
        <w:t xml:space="preserve">V. How to Use This Note, and Its Limits</w:t>
      </w:r>
    </w:p>
    <w:p>
      <w:pPr>
        <w:numPr>
          <w:ilvl w:val="0"/>
          <w:numId w:val="1004"/>
        </w:numPr>
      </w:pPr>
      <w:r>
        <w:rPr>
          <w:b/>
          <w:bCs/>
        </w:rPr>
        <w:t xml:space="preserve">This is general reference material and does not constitute legal advice or tax advice.</w:t>
      </w:r>
      <w:r>
        <w:t xml:space="preserve"> </w:t>
      </w:r>
      <w:r>
        <w:t xml:space="preserve">Application varies with sector, scale and transaction structure; act on the advice of a</w:t>
      </w:r>
      <w:r>
        <w:t xml:space="preserve"> </w:t>
      </w:r>
      <w:r>
        <w:t xml:space="preserve">Vietnamese-qualified lawyer or tax practitioner.</w:t>
      </w:r>
    </w:p>
    <w:p>
      <w:pPr>
        <w:numPr>
          <w:ilvl w:val="0"/>
          <w:numId w:val="1004"/>
        </w:numPr>
      </w:pPr>
      <w:r>
        <w:rPr>
          <w:b/>
          <w:bCs/>
        </w:rPr>
        <w:t xml:space="preserve">What this note deliberately omits</w:t>
      </w:r>
      <w:r>
        <w:t xml:space="preserve">: the sector-by-sector foreign contractor rate table;</w:t>
      </w:r>
      <w:r>
        <w:t xml:space="preserve"> </w:t>
      </w:r>
      <w:r>
        <w:t xml:space="preserve">the rates applying to property leasing above the threshold; the full test for resident</w:t>
      </w:r>
      <w:r>
        <w:t xml:space="preserve"> </w:t>
      </w:r>
      <w:r>
        <w:t xml:space="preserve">versus non-resident status; and the number of the instrument setting the VND 2,530,000</w:t>
      </w:r>
      <w:r>
        <w:t xml:space="preserve"> </w:t>
      </w:r>
      <w:r>
        <w:t xml:space="preserve">reference level. None has been verified against the primary legal text, and</w:t>
      </w:r>
      <w:r>
        <w:t xml:space="preserve"> </w:t>
      </w:r>
      <w:r>
        <w:rPr>
          <w:b/>
          <w:bCs/>
        </w:rPr>
        <w:t xml:space="preserve">under this</w:t>
      </w:r>
      <w:r>
        <w:rPr>
          <w:b/>
          <w:bCs/>
        </w:rPr>
        <w:t xml:space="preserve"> </w:t>
      </w:r>
      <w:r>
        <w:rPr>
          <w:b/>
          <w:bCs/>
        </w:rPr>
        <w:t xml:space="preserve">channel’s editorial rule an unverified figure is left out</w:t>
      </w:r>
      <w:r>
        <w:t xml:space="preserve"> </w:t>
      </w:r>
      <w:r>
        <w:t xml:space="preserve">rather than filled in with a</w:t>
      </w:r>
      <w:r>
        <w:t xml:space="preserve"> </w:t>
      </w:r>
      <w:r>
        <w:t xml:space="preserve">plausible-looking number.</w:t>
      </w:r>
    </w:p>
    <w:p>
      <w:pPr>
        <w:numPr>
          <w:ilvl w:val="0"/>
          <w:numId w:val="1004"/>
        </w:numPr>
      </w:pPr>
      <w:r>
        <w:rPr>
          <w:b/>
          <w:bCs/>
        </w:rPr>
        <w:t xml:space="preserve">One policy here expires by itself.</w:t>
      </w:r>
      <w:r>
        <w:t xml:space="preserve"> </w:t>
      </w:r>
      <w:r>
        <w:t xml:space="preserve">The 8% VAT reduction ends on</w:t>
      </w:r>
      <w:r>
        <w:t xml:space="preserve"> </w:t>
      </w:r>
      <w:r>
        <w:rPr>
          <w:b/>
          <w:bCs/>
        </w:rPr>
        <w:t xml:space="preserve">31 December 2026</w:t>
      </w:r>
      <w:r>
        <w:t xml:space="preserve">;</w:t>
      </w:r>
      <w:r>
        <w:t xml:space="preserve"> </w:t>
      </w:r>
      <w:r>
        <w:t xml:space="preserve">check whether an extending resolution has been issued before relying on it.</w:t>
      </w:r>
      <w:r>
        <w:t xml:space="preserve"> </w:t>
      </w:r>
      <w:r>
        <w:rPr>
          <w:b/>
          <w:bCs/>
        </w:rPr>
        <w:t xml:space="preserve">This document is on the quarterly review list.</w:t>
      </w:r>
    </w:p>
    <w:p>
      <w:pPr>
        <w:numPr>
          <w:ilvl w:val="0"/>
          <w:numId w:val="1004"/>
        </w:numPr>
      </w:pPr>
      <w:r>
        <w:rPr>
          <w:b/>
          <w:bCs/>
        </w:rPr>
        <w:t xml:space="preserve">This note contains no information relating to any particular company.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Vietnam’s 2026 Tax and Employment Changes — What Actually Changed</dc:title>
  <dc:creator/>
  <dc:language>en</dc:language>
  <cp:keywords/>
  <dcterms:created xsi:type="dcterms:W3CDTF">2026-10-31T05:14:36Z</dcterms:created>
  <dcterms:modified xsi:type="dcterms:W3CDTF">2026-10-31T05:14:36Z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