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Những thay đổi trọng yếu về thuế và lao động tại Việt Nam năm 2026</w:t>
      </w:r>
    </w:p>
    <w:bookmarkStart w:id="24" w:name="X8fc00c3dbc258ee62a691f718e95e6c5a444e27"/>
    <w:p>
      <w:pPr>
        <w:pStyle w:val="Heading1"/>
      </w:pPr>
      <w:r>
        <w:t xml:space="preserve">NHỮNG THAY ĐỔI TRỌNG YẾU VỀ THUẾ VÀ LAO ĐỘNG TẠI VIỆT NAM NĂM 2026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Vì sao cần tài liệu này.</w:t>
      </w:r>
      <w:r>
        <w:t xml:space="preserve"> </w:t>
      </w:r>
      <w:r>
        <w:t xml:space="preserve">Trong 24 tháng của giai đoạn 2025–2026, Việt Nam đã sửa</w:t>
      </w:r>
      <w:r>
        <w:t xml:space="preserve"> </w:t>
      </w:r>
      <w:r>
        <w:t xml:space="preserve">Luật Thuế TNDN, Luật Thuế TNCN, thuế suất GTGT, ngưỡng doanh thu hộ kinh doanh,</w:t>
      </w:r>
      <w:r>
        <w:t xml:space="preserve"> </w:t>
      </w:r>
      <w:r>
        <w:t xml:space="preserve">căn cứ đóng BHXH và lương tối thiểu vùng; đồng thời bãi bỏ một khoản thu tồn tại gần 60 năm</w:t>
      </w:r>
      <w:r>
        <w:t xml:space="preserve"> </w:t>
      </w:r>
      <w:r>
        <w:t xml:space="preserve">và hợp nhất Sở Kế hoạch và Đầu tư vào Sở Tài chính.</w:t>
      </w:r>
    </w:p>
    <w:p>
      <w:pPr>
        <w:pStyle w:val="BlockText"/>
      </w:pPr>
      <w:r>
        <w:rPr>
          <w:b/>
          <w:bCs/>
        </w:rPr>
        <w:t xml:space="preserve">Các thay đổi nằm rải rác trong hơn mười văn bản, với ngày hiệu lực khác nhau</w:t>
      </w:r>
      <w:r>
        <w:t xml:space="preserve"> </w:t>
      </w:r>
      <w:r>
        <w:t xml:space="preserve">—</w:t>
      </w:r>
      <w:r>
        <w:t xml:space="preserve"> </w:t>
      </w:r>
      <w:r>
        <w:t xml:space="preserve">có cái từ 01/10/2025, có cái 01/01/2026, có cái 01/7/2026, và một cái</w:t>
      </w:r>
      <w:r>
        <w:t xml:space="preserve"> </w:t>
      </w:r>
      <w:r>
        <w:rPr>
          <w:b/>
          <w:bCs/>
        </w:rPr>
        <w:t xml:space="preserve">hết hạn 31/12/2026</w:t>
      </w:r>
      <w:r>
        <w:t xml:space="preserve">.</w:t>
      </w:r>
      <w:r>
        <w:t xml:space="preserve"> </w:t>
      </w:r>
      <w:r>
        <w:t xml:space="preserve">Nhìn riêng từng điều sẽ bỏ sót những điều còn lại. Tài liệu này đặt chúng lên cùng một trục thời gian.</w:t>
      </w:r>
    </w:p>
    <w:p>
      <w:r>
        <w:pict>
          <v:rect style="width:0;height:1.5pt" o:hralign="center" o:hrstd="t" o:hr="t"/>
        </w:pict>
      </w:r>
    </w:p>
    <w:bookmarkStart w:id="9" w:name="i.-lịch-hiệu-lực-năm-2026"/>
    <w:p>
      <w:pPr>
        <w:pStyle w:val="Heading2"/>
      </w:pPr>
      <w:r>
        <w:t xml:space="preserve">I. Lịch hiệu lực năm 2026</w:t>
      </w:r>
    </w:p>
    <w:p>
      <w:pPr>
        <w:pStyle w:val="FirstParagraph"/>
      </w:pPr>
      <w:r>
        <w:t xml:space="preserve">Sắp xếp theo ngày hiệu lực.</w:t>
      </w:r>
      <w:r>
        <w:t xml:space="preserve"> </w:t>
      </w:r>
      <w:r>
        <w:rPr>
          <w:b/>
          <w:bCs/>
        </w:rPr>
        <w:t xml:space="preserve">Cột</w:t>
      </w:r>
      <w:r>
        <w:rPr>
          <w:b/>
          <w:bCs/>
        </w:rPr>
        <w:t xml:space="preserve"> </w:t>
      </w:r>
      <w:r>
        <w:rPr>
          <w:b/>
          <w:bCs/>
        </w:rPr>
        <w:t xml:space="preserve">“Ngày hiệu lực”</w:t>
      </w:r>
      <w:r>
        <w:rPr>
          <w:b/>
          <w:bCs/>
        </w:rPr>
        <w:t xml:space="preserve"> </w:t>
      </w:r>
      <w:r>
        <w:rPr>
          <w:b/>
          <w:bCs/>
        </w:rPr>
        <w:t xml:space="preserve">là căn cứ duy nhất để biết hiện tại</w:t>
      </w:r>
      <w:r>
        <w:rPr>
          <w:b/>
          <w:bCs/>
        </w:rPr>
        <w:t xml:space="preserve"> </w:t>
      </w:r>
      <w:r>
        <w:rPr>
          <w:b/>
          <w:bCs/>
        </w:rPr>
        <w:t xml:space="preserve">bạn phải áp dụng quy định nào.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Ngày hiệu lực</w:t>
            </w:r>
          </w:p>
        </w:tc>
        <w:tc>
          <w:tcPr/>
          <w:p>
            <w:pPr>
              <w:pStyle w:val="Compact"/>
            </w:pPr>
            <w:r>
              <w:t xml:space="preserve">Thay đổi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01/6/2025</w:t>
            </w:r>
          </w:p>
        </w:tc>
        <w:tc>
          <w:tcPr/>
          <w:p>
            <w:pPr>
              <w:pStyle w:val="Compact"/>
            </w:pPr>
            <w:r>
              <w:t xml:space="preserve">Sửa đổi lớn về hóa đơn điện tử (sửa 40/61 điều của NĐ 123/2020)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01/7/2025</w:t>
            </w:r>
          </w:p>
        </w:tc>
        <w:tc>
          <w:tcPr/>
          <w:p>
            <w:pPr>
              <w:pStyle w:val="Compact"/>
            </w:pPr>
            <w:r>
              <w:t xml:space="preserve">Giảm thuế GTGT một số hàng hóa, dịch vụ còn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đến hết 31/12/2026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01/7/2025</w:t>
            </w:r>
          </w:p>
        </w:tc>
        <w:tc>
          <w:tcPr/>
          <w:p>
            <w:pPr>
              <w:pStyle w:val="Compact"/>
            </w:pPr>
            <w:r>
              <w:t xml:space="preserve">Thuế GTGT nhà thầu với dịch vụ số tăng từ 5% lên</w:t>
            </w:r>
            <w:r>
              <w:t xml:space="preserve"> </w:t>
            </w: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01/10/2025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Thuế TNDN mới</w:t>
            </w:r>
            <w:r>
              <w:t xml:space="preserve"> </w:t>
            </w:r>
            <w:r>
              <w:t xml:space="preserve">có hiệu lực, thêm hai mức 15% / 17%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Bãi bỏ lệ phí môn bài</w:t>
            </w:r>
          </w:p>
        </w:tc>
        <w:tc>
          <w:tcPr/>
          <w:p>
            <w:pPr>
              <w:pStyle w:val="Compact"/>
            </w:pPr>
            <w:r>
              <w:t xml:space="preserve">Điều 10 Nghị quyết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Ngưỡng doanh thu hộ và cá nhân kinh doanh</w:t>
            </w:r>
            <w:r>
              <w:t xml:space="preserve"> </w:t>
            </w:r>
            <w:r>
              <w:rPr>
                <w:b/>
                <w:bCs/>
              </w:rPr>
              <w:t xml:space="preserve">100 triệu → 500 triệu đồng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bỏ khoán</w:t>
            </w:r>
          </w:p>
        </w:tc>
        <w:tc>
          <w:tcPr/>
          <w:p>
            <w:pPr>
              <w:pStyle w:val="Compact"/>
            </w:pPr>
            <w:r>
              <w:t xml:space="preserve">Luật Thuế TNCN sửa đổi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Lương tối thiểu vùng tăng</w:t>
            </w:r>
            <w:r>
              <w:t xml:space="preserve"> </w:t>
            </w:r>
            <w:r>
              <w:rPr>
                <w:b/>
                <w:bCs/>
              </w:rPr>
              <w:t xml:space="preserve">7,2%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01/7/2026</w:t>
            </w:r>
          </w:p>
        </w:tc>
        <w:tc>
          <w:tcPr/>
          <w:p>
            <w:pPr>
              <w:pStyle w:val="Compact"/>
            </w:pPr>
            <w:r>
              <w:t xml:space="preserve">Mức tham chiếu BHXH</w:t>
            </w:r>
            <w:r>
              <w:t xml:space="preserve"> </w:t>
            </w:r>
            <w:r>
              <w:rPr>
                <w:b/>
                <w:bCs/>
              </w:rPr>
              <w:t xml:space="preserve">2.340.000 → 2.530.000</w:t>
            </w:r>
            <w:r>
              <w:t xml:space="preserve"> </w:t>
            </w:r>
            <w:r>
              <w:t xml:space="preserve">đồng/tháng</w:t>
            </w:r>
          </w:p>
        </w:tc>
        <w:tc>
          <w:tcPr/>
          <w:p>
            <w:pPr>
              <w:pStyle w:val="Compact"/>
            </w:pPr>
            <w:r>
              <w:t xml:space="preserve">Cơ quan BHXH Việt Nam công bố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Thuế TNCN mới</w:t>
            </w:r>
            <w:r>
              <w:t xml:space="preserve"> </w:t>
            </w:r>
            <w:r>
              <w:t xml:space="preserve">có hiệu lực; biểu lũy tiến</w:t>
            </w:r>
            <w:r>
              <w:t xml:space="preserve"> </w:t>
            </w:r>
            <w:r>
              <w:rPr>
                <w:b/>
                <w:bCs/>
              </w:rPr>
              <w:t xml:space="preserve">7 bậc → 5 bậc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12/3/2026</w:t>
            </w:r>
          </w:p>
        </w:tc>
        <w:tc>
          <w:tcPr/>
          <w:p>
            <w:pPr>
              <w:pStyle w:val="Compact"/>
            </w:pPr>
            <w:r>
              <w:t xml:space="preserve">Bãi bỏ quy định cũ về</w:t>
            </w:r>
            <w:r>
              <w:t xml:space="preserve"> </w:t>
            </w:r>
            <w:r>
              <w:rPr>
                <w:b/>
                <w:bCs/>
              </w:rPr>
              <w:t xml:space="preserve">thuế TNDN</w:t>
            </w:r>
            <w:r>
              <w:t xml:space="preserve"> </w:t>
            </w:r>
            <w:r>
              <w:t xml:space="preserve">đối với nhà thầu nước ngoài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31/12/2026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Hết hạn giảm thuế GTGT 8%</w:t>
            </w:r>
            <w:r>
              <w:t xml:space="preserve"> </w:t>
            </w:r>
            <w:r>
              <w:t xml:space="preserve">— không có nghị quyết mới thì quay lại 10%</w:t>
            </w:r>
          </w:p>
        </w:tc>
        <w:tc>
          <w:tcPr/>
          <w:p>
            <w:pPr>
              <w:pStyle w:val="Compact"/>
            </w:pPr>
            <w:r>
              <w:t xml:space="preserve">như trên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"/>
    <w:bookmarkStart w:id="20" w:name="ii.-phân-tích-từng-nội-dung"/>
    <w:p>
      <w:pPr>
        <w:pStyle w:val="Heading2"/>
      </w:pPr>
      <w:r>
        <w:t xml:space="preserve">II. Phân tích từng nội dung</w:t>
      </w:r>
    </w:p>
    <w:bookmarkStart w:id="10" w:name="X9b0ff31eb22255120c45c0000fc83d70c7d8ea5"/>
    <w:p>
      <w:pPr>
        <w:pStyle w:val="Heading3"/>
      </w:pPr>
      <w:r>
        <w:t xml:space="preserve">2.1. Bãi bỏ lệ phí môn bài — ảnh hưởng rộng nhất và bị bỏ sót nhiều nhất</w:t>
      </w:r>
    </w:p>
    <w:p>
      <w:pPr>
        <w:pStyle w:val="FirstParagraph"/>
      </w:pPr>
      <w:r>
        <w:rPr>
          <w:b/>
          <w:bCs/>
        </w:rPr>
        <w:t xml:space="preserve">Chấm dứt thu nộp từ 01/01/2026</w:t>
      </w:r>
      <w:r>
        <w:t xml:space="preserve">, căn cứ</w:t>
      </w:r>
      <w:r>
        <w:t xml:space="preserve"> </w:t>
      </w:r>
      <w:r>
        <w:rPr>
          <w:b/>
          <w:bCs/>
        </w:rPr>
        <w:t xml:space="preserve">Điều 10 Nghị quyết 198/2025/QH15</w:t>
      </w:r>
      <w:r>
        <w:t xml:space="preserve"> </w:t>
      </w:r>
      <w:r>
        <w:t xml:space="preserve">(thông qua 17/5/2025). Đối tượng: doanh nghiệp, hộ kinh doanh, cá nhân kinh doanh</w:t>
      </w:r>
      <w:r>
        <w:t xml:space="preserve"> </w:t>
      </w:r>
      <w:r>
        <w:t xml:space="preserve">và các tổ chức, cá nhân khác có liên quan.</w:t>
      </w:r>
    </w:p>
    <w:p>
      <w:pPr>
        <w:pStyle w:val="BodyText"/>
      </w:pPr>
      <w:r>
        <w:t xml:space="preserve">Đây là lần</w:t>
      </w:r>
      <w:r>
        <w:t xml:space="preserve"> </w:t>
      </w:r>
      <w:r>
        <w:rPr>
          <w:b/>
          <w:bCs/>
        </w:rPr>
        <w:t xml:space="preserve">đầu tiên trong lịch sử chính sách thuế Việt Nam</w:t>
      </w:r>
      <w:r>
        <w:t xml:space="preserve"> </w:t>
      </w:r>
      <w:r>
        <w:t xml:space="preserve">một khoản thu được xóa bỏ</w:t>
      </w:r>
      <w:r>
        <w:t xml:space="preserve"> </w:t>
      </w:r>
      <w:r>
        <w:t xml:space="preserve">hoàn toàn — nó đã tồn tại gần 60 năm.</w:t>
      </w:r>
    </w:p>
    <w:p>
      <w:pPr>
        <w:pStyle w:val="BlockText"/>
      </w:pPr>
      <w:r>
        <w:rPr>
          <w:b/>
          <w:bCs/>
        </w:rPr>
        <w:t xml:space="preserve">Vì sao cần nhấn mạnh riêng</w:t>
      </w:r>
      <w:r>
        <w:t xml:space="preserve">: phần lớn hướng dẫn thành lập doanh nghiệp bằng tiếng Trung</w:t>
      </w:r>
      <w:r>
        <w:t xml:space="preserve"> </w:t>
      </w:r>
      <w:r>
        <w:t xml:space="preserve">vẫn dạy người đọc</w:t>
      </w:r>
      <w:r>
        <w:t xml:space="preserve"> </w:t>
      </w:r>
      <w:r>
        <w:t xml:space="preserve">“kê khai lệ phí môn bài trong 30 ngày sau khi thành lập”</w:t>
      </w:r>
      <w:r>
        <w:t xml:space="preserve">.</w:t>
      </w:r>
      <w:r>
        <w:t xml:space="preserve"> </w:t>
      </w:r>
      <w:r>
        <w:t xml:space="preserve">Làm theo tài liệu cũ sẽ đi tìm một</w:t>
      </w:r>
      <w:r>
        <w:t xml:space="preserve"> </w:t>
      </w:r>
      <w:r>
        <w:rPr>
          <w:b/>
          <w:bCs/>
        </w:rPr>
        <w:t xml:space="preserve">cổng kê khai không còn tồn tại</w:t>
      </w:r>
      <w:r>
        <w:t xml:space="preserve"> </w:t>
      </w:r>
      <w:r>
        <w:t xml:space="preserve">và tưởng mình đã bỏ sót.</w:t>
      </w:r>
    </w:p>
    <w:bookmarkEnd w:id="10"/>
    <w:bookmarkStart w:id="11" w:name="X1430861d0718142adf72aedf7fa6c5e3c8f78a5"/>
    <w:p>
      <w:pPr>
        <w:pStyle w:val="Heading3"/>
      </w:pPr>
      <w:r>
        <w:t xml:space="preserve">2.2. Thuế TNDN: phổ thông 20%, thêm hai mức 15% và 17%</w:t>
      </w:r>
    </w:p>
    <w:p>
      <w:pPr>
        <w:pStyle w:val="FirstParagraph"/>
      </w:pPr>
      <w:r>
        <w:rPr>
          <w:b/>
          <w:bCs/>
        </w:rPr>
        <w:t xml:space="preserve">Luật 67/2025/QH15</w:t>
      </w:r>
      <w:r>
        <w:t xml:space="preserve">, Quốc hội thông qua 14/6/2025,</w:t>
      </w:r>
      <w:r>
        <w:t xml:space="preserve"> </w:t>
      </w:r>
      <w:r>
        <w:rPr>
          <w:b/>
          <w:bCs/>
        </w:rPr>
        <w:t xml:space="preserve">hiệu lực 01/10/2025</w:t>
      </w:r>
      <w:r>
        <w:t xml:space="preserve">,</w:t>
      </w:r>
      <w:r>
        <w:t xml:space="preserve"> </w:t>
      </w:r>
      <w:r>
        <w:t xml:space="preserve">áp dụng từ kỳ tính thuế năm 2025.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Mức</w:t>
            </w:r>
          </w:p>
        </w:tc>
        <w:tc>
          <w:tcPr/>
          <w:p>
            <w:pPr>
              <w:pStyle w:val="Compact"/>
            </w:pPr>
            <w:r>
              <w:t xml:space="preserve">Điều kiện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Tổng doanh thu năm</w:t>
            </w:r>
            <w:r>
              <w:t xml:space="preserve"> </w:t>
            </w:r>
            <w:r>
              <w:rPr>
                <w:b/>
                <w:bCs/>
              </w:rPr>
              <w:t xml:space="preserve">không quá 3 tỷ đồng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17%</w:t>
            </w:r>
          </w:p>
        </w:tc>
        <w:tc>
          <w:tcPr/>
          <w:p>
            <w:pPr>
              <w:pStyle w:val="Compact"/>
            </w:pPr>
            <w:r>
              <w:t xml:space="preserve">Tổng doanh thu năm</w:t>
            </w:r>
            <w:r>
              <w:t xml:space="preserve"> </w:t>
            </w:r>
            <w:r>
              <w:rPr>
                <w:b/>
                <w:bCs/>
              </w:rPr>
              <w:t xml:space="preserve">trên 3 tỷ đến 50 tỷ đồng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Các trường hợp còn lại</w:t>
            </w:r>
          </w:p>
        </w:tc>
      </w:tr>
    </w:tbl>
    <w:p>
      <w:pPr>
        <w:pStyle w:val="BodyText"/>
      </w:pPr>
      <w:r>
        <w:t xml:space="preserve">Mức áp dụng căn cứ</w:t>
      </w:r>
      <w:r>
        <w:t xml:space="preserve"> </w:t>
      </w:r>
      <w:r>
        <w:rPr>
          <w:b/>
          <w:bCs/>
        </w:rPr>
        <w:t xml:space="preserve">tổng doanh thu của kỳ tính thuế TNDN liền kề trước đó</w:t>
      </w:r>
      <w:r>
        <w:t xml:space="preserve">;</w:t>
      </w:r>
      <w:r>
        <w:t xml:space="preserve"> </w:t>
      </w:r>
      <w:r>
        <w:t xml:space="preserve">doanh nghiệp mới thành lập do Chính phủ quy định chi tiết.</w:t>
      </w:r>
    </w:p>
    <w:p>
      <w:pPr>
        <w:pStyle w:val="BlockText"/>
      </w:pPr>
      <w:r>
        <w:rPr>
          <w:b/>
          <w:bCs/>
        </w:rPr>
        <w:t xml:space="preserve">Phần lớn doanh nghiệp FDI vừa và nhỏ nằm dưới mốc 50 tỷ đồng</w:t>
      </w:r>
      <w:r>
        <w:t xml:space="preserve"> </w:t>
      </w:r>
      <w:r>
        <w:t xml:space="preserve">— hai mức này mới là</w:t>
      </w:r>
      <w:r>
        <w:t xml:space="preserve"> </w:t>
      </w:r>
      <w:r>
        <w:t xml:space="preserve">thuế suất liên quan nhất với họ, trong khi tài liệu cũ thường chỉ ghi</w:t>
      </w:r>
      <w:r>
        <w:t xml:space="preserve"> </w:t>
      </w:r>
      <w:r>
        <w:t xml:space="preserve">“thuế TNDN 20%”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Về ngày hiệu lực</w:t>
      </w:r>
      <w:r>
        <w:t xml:space="preserve">: nguồn thứ cấp đưa ra hai mốc 01/10/2025 và 01/01/2026. Bản này lấy theo</w:t>
      </w:r>
      <w:r>
        <w:t xml:space="preserve"> </w:t>
      </w:r>
      <w:r>
        <w:rPr>
          <w:b/>
          <w:bCs/>
        </w:rPr>
        <w:t xml:space="preserve">Công báo Chính phủ (congbao.chinhphu.vn)</w:t>
      </w:r>
      <w:r>
        <w:t xml:space="preserve">: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t xml:space="preserve">.</w:t>
      </w:r>
    </w:p>
    <w:bookmarkEnd w:id="11"/>
    <w:bookmarkStart w:id="12" w:name="X634aaffe9a6828ce3ae685081551b4fcdd02385"/>
    <w:p>
      <w:pPr>
        <w:pStyle w:val="Heading3"/>
      </w:pPr>
      <w:r>
        <w:t xml:space="preserve">2.3. Thuế GTGT: mức 8% là tạm thời, hết hạn 31/12/2026</w:t>
      </w:r>
    </w:p>
    <w:p>
      <w:pPr>
        <w:pStyle w:val="Compact"/>
        <w:numPr>
          <w:ilvl w:val="0"/>
          <w:numId w:val="1001"/>
        </w:numPr>
      </w:pPr>
      <w:r>
        <w:t xml:space="preserve">Luật hiện hành:</w:t>
      </w:r>
      <w:r>
        <w:t xml:space="preserve"> </w:t>
      </w:r>
      <w:r>
        <w:rPr>
          <w:b/>
          <w:bCs/>
        </w:rPr>
        <w:t xml:space="preserve">Luật 48/2024/QH15</w:t>
      </w:r>
      <w:r>
        <w:t xml:space="preserve">, thuế suất phổ thông</w:t>
      </w:r>
      <w:r>
        <w:t xml:space="preserve"> </w:t>
      </w:r>
      <w:r>
        <w:rPr>
          <w:b/>
          <w:bCs/>
        </w:rPr>
        <w:t xml:space="preserve">10%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Căn cứ giảm:</w:t>
      </w:r>
      <w:r>
        <w:t xml:space="preserve"> </w:t>
      </w:r>
      <w:r>
        <w:rPr>
          <w:b/>
          <w:bCs/>
        </w:rPr>
        <w:t xml:space="preserve">Nghị quyết 204/2025/QH15</w:t>
      </w:r>
      <w:r>
        <w:t xml:space="preserve"> </w:t>
      </w:r>
      <w:r>
        <w:t xml:space="preserve">và</w:t>
      </w:r>
      <w:r>
        <w:t xml:space="preserve"> </w:t>
      </w:r>
      <w:r>
        <w:rPr>
          <w:b/>
          <w:bCs/>
        </w:rPr>
        <w:t xml:space="preserve">Nghị định 174/2025/NĐ-CP</w:t>
      </w:r>
      <w:r>
        <w:t xml:space="preserve">,</w:t>
      </w:r>
      <w:r>
        <w:t xml:space="preserve"> </w:t>
      </w:r>
      <w:r>
        <w:t xml:space="preserve">một số hàng hóa, dịch vụ còn</w:t>
      </w:r>
      <w:r>
        <w:t xml:space="preserve"> </w:t>
      </w:r>
      <w:r>
        <w:rPr>
          <w:b/>
          <w:bCs/>
        </w:rPr>
        <w:t xml:space="preserve">8%</w:t>
      </w:r>
      <w:r>
        <w:t xml:space="preserve">, áp dụng</w:t>
      </w:r>
      <w:r>
        <w:t xml:space="preserve"> </w:t>
      </w:r>
      <w:r>
        <w:rPr>
          <w:b/>
          <w:bCs/>
        </w:rPr>
        <w:t xml:space="preserve">01/7/2025 – 31/12/2026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Không được giảm</w:t>
      </w:r>
      <w:r>
        <w:t xml:space="preserve">: viễn thông, tài chính, ngân hàng, chứng khoán, bảo hiểm,</w:t>
      </w:r>
      <w:r>
        <w:t xml:space="preserve"> </w:t>
      </w:r>
      <w:r>
        <w:t xml:space="preserve">kinh doanh bất động sản, sản phẩm kim loại, sản phẩm khai khoáng (trừ than),</w:t>
      </w:r>
      <w:r>
        <w:t xml:space="preserve"> </w:t>
      </w:r>
      <w:r>
        <w:t xml:space="preserve">hàng hóa và dịch vụ chịu thuế tiêu thụ đặc biệt (trừ xăng).</w:t>
      </w:r>
    </w:p>
    <w:p>
      <w:pPr>
        <w:pStyle w:val="BlockText"/>
      </w:pPr>
      <w:r>
        <w:rPr>
          <w:b/>
          <w:bCs/>
        </w:rPr>
        <w:t xml:space="preserve">Đây là chính sách duy nhất trong tài liệu này sẽ</w:t>
      </w:r>
      <w:r>
        <w:rPr>
          <w:b/>
          <w:bCs/>
        </w:rPr>
        <w:t xml:space="preserve"> </w:t>
      </w:r>
      <w:r>
        <w:rPr>
          <w:b/>
          <w:bCs/>
        </w:rPr>
        <w:t xml:space="preserve">“tự hết hiệu lực”</w:t>
      </w:r>
      <w:r>
        <w:rPr>
          <w:b/>
          <w:bCs/>
        </w:rPr>
        <w:t xml:space="preserve">.</w:t>
      </w:r>
      <w:r>
        <w:t xml:space="preserve"> </w:t>
      </w:r>
      <w:r>
        <w:t xml:space="preserve">Khi ký hợp đồng vắt qua cuối năm 2026, điều khoản giá và thuế nên ghi rõ thuế suất</w:t>
      </w:r>
      <w:r>
        <w:t xml:space="preserve"> </w:t>
      </w:r>
      <w:r>
        <w:t xml:space="preserve">điều chỉnh theo thay đổi của pháp luật; nếu không, ai chịu phần chênh từ năm 2027</w:t>
      </w:r>
      <w:r>
        <w:t xml:space="preserve"> </w:t>
      </w:r>
      <w:r>
        <w:t xml:space="preserve">sẽ trở thành điểm tranh chấp.</w:t>
      </w:r>
    </w:p>
    <w:bookmarkEnd w:id="12"/>
    <w:bookmarkStart w:id="13" w:name="X50f6e4ea24a5aaf3220af05b1af95c9f25c1947"/>
    <w:p>
      <w:pPr>
        <w:pStyle w:val="Heading3"/>
      </w:pPr>
      <w:r>
        <w:t xml:space="preserve">2.4. Thuế TNCN: luật mới và biểu lũy tiến rút từ 7 bậc xuống 5 bậc</w:t>
      </w:r>
    </w:p>
    <w:p>
      <w:pPr>
        <w:pStyle w:val="FirstParagraph"/>
      </w:pPr>
      <w:r>
        <w:rPr>
          <w:b/>
          <w:bCs/>
        </w:rPr>
        <w:t xml:space="preserve">Luật 109/2025/QH15</w:t>
      </w:r>
      <w:r>
        <w:t xml:space="preserve">, Quốc hội thông qua 10/12/2025, gồm 4 chương 29 điều,</w:t>
      </w:r>
      <w:r>
        <w:t xml:space="preserve"> </w:t>
      </w:r>
      <w:r>
        <w:rPr>
          <w:b/>
          <w:bCs/>
        </w:rPr>
        <w:t xml:space="preserve">hiệu lực 01/7/2026</w:t>
      </w:r>
      <w:r>
        <w:t xml:space="preserve">; các quy định về thu nhập từ kinh doanh và tiền lương, tiền công</w:t>
      </w:r>
      <w:r>
        <w:t xml:space="preserve"> </w:t>
      </w:r>
      <w:r>
        <w:t xml:space="preserve">của cá nhân cư trú</w:t>
      </w:r>
      <w:r>
        <w:t xml:space="preserve"> </w:t>
      </w:r>
      <w:r>
        <w:rPr>
          <w:b/>
          <w:bCs/>
        </w:rPr>
        <w:t xml:space="preserve">áp dụng từ kỳ tính thuế năm 2026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Điều 9 — biểu lũy tiến 5 bậc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Bậc</w:t>
            </w:r>
          </w:p>
        </w:tc>
        <w:tc>
          <w:tcPr/>
          <w:p>
            <w:pPr>
              <w:pStyle w:val="Compact"/>
            </w:pPr>
            <w:r>
              <w:t xml:space="preserve">Thu nhập tính thuế/tháng (VNĐ)</w:t>
            </w:r>
          </w:p>
        </w:tc>
        <w:tc>
          <w:tcPr/>
          <w:p>
            <w:pPr>
              <w:pStyle w:val="Compact"/>
            </w:pPr>
            <w:r>
              <w:t xml:space="preserve">Thu nhập tính thuế/năm (VNĐ)</w:t>
            </w:r>
          </w:p>
        </w:tc>
        <w:tc>
          <w:tcPr/>
          <w:p>
            <w:pPr>
              <w:pStyle w:val="Compact"/>
            </w:pPr>
            <w:r>
              <w:t xml:space="preserve">Thuế suất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Đến 10 triệu</w:t>
            </w:r>
          </w:p>
        </w:tc>
        <w:tc>
          <w:tcPr/>
          <w:p>
            <w:pPr>
              <w:pStyle w:val="Compact"/>
            </w:pPr>
            <w:r>
              <w:t xml:space="preserve">Đến 120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Trên 10 đến 30 triệu</w:t>
            </w:r>
          </w:p>
        </w:tc>
        <w:tc>
          <w:tcPr/>
          <w:p>
            <w:pPr>
              <w:pStyle w:val="Compact"/>
            </w:pPr>
            <w:r>
              <w:t xml:space="preserve">Trên 120 đến 360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Trên 30 đến 60 triệu</w:t>
            </w:r>
          </w:p>
        </w:tc>
        <w:tc>
          <w:tcPr/>
          <w:p>
            <w:pPr>
              <w:pStyle w:val="Compact"/>
            </w:pPr>
            <w:r>
              <w:t xml:space="preserve">Trên 360 đến 720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Trên 60 đến 100 triệu</w:t>
            </w:r>
          </w:p>
        </w:tc>
        <w:tc>
          <w:tcPr/>
          <w:p>
            <w:pPr>
              <w:pStyle w:val="Compact"/>
            </w:pPr>
            <w:r>
              <w:t xml:space="preserve">Trên 720 triệu đến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Trên 100 triệu</w:t>
            </w:r>
          </w:p>
        </w:tc>
        <w:tc>
          <w:tcPr/>
          <w:p>
            <w:pPr>
              <w:pStyle w:val="Compact"/>
            </w:pPr>
            <w:r>
              <w:t xml:space="preserve">Trên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b/>
          <w:bCs/>
        </w:rPr>
        <w:t xml:space="preserve">Điều 10 — mức giảm trừ gia cảnh</w:t>
      </w:r>
      <w:r>
        <w:t xml:space="preserve"> </w:t>
      </w:r>
      <w:r>
        <w:t xml:space="preserve">(thống nhất với Nghị quyết 110/2025/UBTVQH15):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Đối tượng</w:t>
            </w:r>
          </w:p>
        </w:tc>
        <w:tc>
          <w:tcPr/>
          <w:p>
            <w:pPr>
              <w:pStyle w:val="Compact"/>
            </w:pPr>
            <w:r>
              <w:t xml:space="preserve">Mức cũ</w:t>
            </w:r>
          </w:p>
        </w:tc>
        <w:tc>
          <w:tcPr/>
          <w:p>
            <w:pPr>
              <w:pStyle w:val="Compact"/>
            </w:pPr>
            <w:r>
              <w:t xml:space="preserve">Mức mới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Bản thân người nộp thuế</w:t>
            </w:r>
          </w:p>
        </w:tc>
        <w:tc>
          <w:tcPr/>
          <w:p>
            <w:pPr>
              <w:pStyle w:val="Compact"/>
            </w:pPr>
            <w:r>
              <w:t xml:space="preserve">11 triệu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15,5 triệu đồng/tháng</w:t>
            </w:r>
            <w:r>
              <w:t xml:space="preserve"> </w:t>
            </w:r>
            <w:r>
              <w:t xml:space="preserve">(186 triệu/năm)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Mỗi người phụ thuộc</w:t>
            </w:r>
          </w:p>
        </w:tc>
        <w:tc>
          <w:tcPr/>
          <w:p>
            <w:pPr>
              <w:pStyle w:val="Compact"/>
            </w:pPr>
            <w:r>
              <w:t xml:space="preserve">4,4 triệu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6,2 triệu đồng/tháng</w:t>
            </w:r>
          </w:p>
        </w:tc>
      </w:tr>
    </w:tbl>
    <w:p>
      <w:pPr>
        <w:pStyle w:val="BodyText"/>
      </w:pPr>
      <w:r>
        <w:t xml:space="preserve">Mức tăng trên</w:t>
      </w:r>
      <w:r>
        <w:t xml:space="preserve"> </w:t>
      </w:r>
      <w:r>
        <w:rPr>
          <w:b/>
          <w:bCs/>
        </w:rPr>
        <w:t xml:space="preserve">40%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Tác động thực tế với doanh nghiệp</w:t>
      </w:r>
      <w:r>
        <w:t xml:space="preserve">: hệ thống lương phải sửa</w:t>
      </w:r>
      <w:r>
        <w:t xml:space="preserve"> </w:t>
      </w:r>
      <w:r>
        <w:rPr>
          <w:b/>
          <w:bCs/>
        </w:rPr>
        <w:t xml:space="preserve">cả hai chỗ</w:t>
      </w:r>
      <w:r>
        <w:t xml:space="preserve"> </w:t>
      </w:r>
      <w:r>
        <w:t xml:space="preserve">—</w:t>
      </w:r>
      <w:r>
        <w:t xml:space="preserve"> </w:t>
      </w:r>
      <w:r>
        <w:t xml:space="preserve">biểu thuế suất và mức giảm trừ; và áp dụng theo</w:t>
      </w:r>
      <w:r>
        <w:t xml:space="preserve"> </w:t>
      </w:r>
      <w:r>
        <w:rPr>
          <w:b/>
          <w:bCs/>
        </w:rPr>
        <w:t xml:space="preserve">kỳ tính thuế</w:t>
      </w:r>
      <w:r>
        <w:t xml:space="preserve">, không phải theo ngày 01/7 —</w:t>
      </w:r>
      <w:r>
        <w:t xml:space="preserve"> </w:t>
      </w:r>
      <w:r>
        <w:t xml:space="preserve">đừng chuyển đổi vào giữa năm.</w:t>
      </w:r>
    </w:p>
    <w:bookmarkEnd w:id="13"/>
    <w:bookmarkStart w:id="14" w:name="Xb8e4905066909bcb66adf67e74d771f9b09237d"/>
    <w:p>
      <w:pPr>
        <w:pStyle w:val="Heading3"/>
      </w:pPr>
      <w:r>
        <w:t xml:space="preserve">2.5. Hộ và cá nhân kinh doanh: ngưỡng từ 100 triệu lên 500 triệu, bỏ khoán</w:t>
      </w:r>
    </w:p>
    <w:p>
      <w:pPr>
        <w:pStyle w:val="FirstParagraph"/>
      </w:pPr>
      <w:r>
        <w:t xml:space="preserve">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Doanh thu năm</w:t>
      </w:r>
      <w:r>
        <w:t xml:space="preserve"> </w:t>
      </w:r>
      <w:r>
        <w:rPr>
          <w:b/>
          <w:bCs/>
        </w:rPr>
        <w:t xml:space="preserve">từ 500 triệu đồng trở xuống</w:t>
      </w:r>
      <w:r>
        <w:t xml:space="preserve"> </w:t>
      </w:r>
      <w:r>
        <w:t xml:space="preserve">được</w:t>
      </w:r>
      <w:r>
        <w:t xml:space="preserve"> </w:t>
      </w:r>
      <w:r>
        <w:rPr>
          <w:b/>
          <w:bCs/>
        </w:rPr>
        <w:t xml:space="preserve">miễn cả thuế GTGT và thuế TNCN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Bỏ phương pháp khoán</w:t>
      </w:r>
      <w:r>
        <w:t xml:space="preserve">, chuyển sang</w:t>
      </w:r>
      <w:r>
        <w:t xml:space="preserve"> </w:t>
      </w:r>
      <w:r>
        <w:rPr>
          <w:b/>
          <w:bCs/>
        </w:rPr>
        <w:t xml:space="preserve">tự kê khai và nộp thuế</w:t>
      </w:r>
      <w:r>
        <w:t xml:space="preserve">.</w:t>
      </w:r>
    </w:p>
    <w:p>
      <w:pPr>
        <w:pStyle w:val="FirstParagraph"/>
      </w:pPr>
      <w:r>
        <w:t xml:space="preserve">Ước tính khoảng</w:t>
      </w:r>
      <w:r>
        <w:t xml:space="preserve"> </w:t>
      </w:r>
      <w:r>
        <w:rPr>
          <w:b/>
          <w:bCs/>
        </w:rPr>
        <w:t xml:space="preserve">2,3 triệu hộ kinh doanh</w:t>
      </w:r>
      <w:r>
        <w:t xml:space="preserve"> </w:t>
      </w:r>
      <w:r>
        <w:t xml:space="preserve">(khoảng 90%) không còn phải nộp thuế.</w:t>
      </w:r>
    </w:p>
    <w:p>
      <w:pPr>
        <w:pStyle w:val="BlockText"/>
      </w:pPr>
      <w:r>
        <w:rPr>
          <w:b/>
          <w:bCs/>
        </w:rPr>
        <w:t xml:space="preserve">Miễn thuế không đồng nghĩa miễn kê khai.</w:t>
      </w:r>
      <w:r>
        <w:t xml:space="preserve"> </w:t>
      </w:r>
      <w:r>
        <w:t xml:space="preserve">Dưới ngưỡng vẫn phải kê khai đầy đủ,</w:t>
      </w:r>
      <w:r>
        <w:t xml:space="preserve"> </w:t>
      </w:r>
      <w:r>
        <w:t xml:space="preserve">trung thực và đúng hạn.</w:t>
      </w:r>
    </w:p>
    <w:p>
      <w:pPr>
        <w:pStyle w:val="BlockText"/>
      </w:pPr>
      <w:r>
        <w:rPr>
          <w:b/>
          <w:bCs/>
        </w:rPr>
        <w:t xml:space="preserve">Tác động tới hợp đồng thuê nhà</w:t>
      </w:r>
      <w:r>
        <w:t xml:space="preserve">: cá nhân cho thuê nhà thuộc diện này.</w:t>
      </w:r>
      <w:r>
        <w:t xml:space="preserve"> </w:t>
      </w:r>
      <w:r>
        <w:t xml:space="preserve">Chủ nhà cá nhân có doanh thu cho thuê dưới 500 triệu đồng/năm từ 2026 không còn nộp</w:t>
      </w:r>
      <w:r>
        <w:t xml:space="preserve"> </w:t>
      </w:r>
      <w:r>
        <w:t xml:space="preserve">GTGT và TNCN — điều này thay đổi trực tiếp cơ sở đàm phán điều khoản</w:t>
      </w:r>
      <w:r>
        <w:t xml:space="preserve"> </w:t>
      </w:r>
      <w:r>
        <w:t xml:space="preserve">“ai chịu thuế”</w:t>
      </w:r>
      <w:r>
        <w:t xml:space="preserve">.</w:t>
      </w:r>
    </w:p>
    <w:bookmarkEnd w:id="14"/>
    <w:bookmarkStart w:id="15" w:name="Xf2030d8d5be0a55186bee5131d7f6bf1e59828b"/>
    <w:p>
      <w:pPr>
        <w:pStyle w:val="Heading3"/>
      </w:pPr>
      <w:r>
        <w:t xml:space="preserve">2.6. Căn cứ đóng BHXH: mức tham chiếu từ 01/7/2026 là 2.530.000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Giai đoạn</w:t>
            </w:r>
          </w:p>
        </w:tc>
        <w:tc>
          <w:tcPr/>
          <w:p>
            <w:pPr>
              <w:pStyle w:val="Compact"/>
            </w:pPr>
            <w:r>
              <w:t xml:space="preserve">Mức tham chiếu</w:t>
            </w:r>
          </w:p>
        </w:tc>
        <w:tc>
          <w:tcPr/>
          <w:p>
            <w:pPr>
              <w:pStyle w:val="Compact"/>
            </w:pPr>
            <w:r>
              <w:t xml:space="preserve">Mức đóng thấp nhất</w:t>
            </w:r>
          </w:p>
        </w:tc>
        <w:tc>
          <w:tcPr/>
          <w:p>
            <w:pPr>
              <w:pStyle w:val="Compact"/>
            </w:pPr>
            <w:r>
              <w:t xml:space="preserve">Mức trần (20 lần)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Đến 30/6/2026</w:t>
            </w:r>
          </w:p>
        </w:tc>
        <w:tc>
          <w:tcPr/>
          <w:p>
            <w:pPr>
              <w:pStyle w:val="Compact"/>
            </w:pPr>
            <w:r>
              <w:t xml:space="preserve">2.340.000 đồng/tháng</w:t>
            </w:r>
          </w:p>
        </w:tc>
        <w:tc>
          <w:tcPr/>
          <w:p>
            <w:pPr>
              <w:pStyle w:val="Compact"/>
            </w:pPr>
            <w:r>
              <w:t xml:space="preserve">2.340.000</w:t>
            </w:r>
          </w:p>
        </w:tc>
        <w:tc>
          <w:tcPr/>
          <w:p>
            <w:pPr>
              <w:pStyle w:val="Compact"/>
            </w:pPr>
            <w:r>
              <w:t xml:space="preserve">46.800.000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Từ 01/7/2026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2.530.000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2.530.000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50.600.000</w:t>
            </w:r>
          </w:p>
        </w:tc>
      </w:tr>
    </w:tbl>
    <w:p>
      <w:pPr>
        <w:pStyle w:val="BodyText"/>
      </w:pPr>
      <w:r>
        <w:t xml:space="preserve">Cơ chế: theo khoản 13 Điều 141</w:t>
      </w:r>
      <w:r>
        <w:t xml:space="preserve"> </w:t>
      </w:r>
      <w:r>
        <w:rPr>
          <w:b/>
          <w:bCs/>
        </w:rPr>
        <w:t xml:space="preserve">Luật BHXH 41/2024/QH15</w:t>
      </w:r>
      <w:r>
        <w:t xml:space="preserve">, khi mức lương cơ sở chưa bị bãi bỏ</w:t>
      </w:r>
      <w:r>
        <w:t xml:space="preserve"> </w:t>
      </w:r>
      <w:r>
        <w:t xml:space="preserve">thì</w:t>
      </w:r>
      <w:r>
        <w:t xml:space="preserve"> </w:t>
      </w:r>
      <w:r>
        <w:t xml:space="preserve">“mức tham chiếu”</w:t>
      </w:r>
      <w:r>
        <w:t xml:space="preserve"> </w:t>
      </w:r>
      <w:r>
        <w:t xml:space="preserve">bằng mức lương cơ sở.</w:t>
      </w:r>
    </w:p>
    <w:p>
      <w:pPr>
        <w:pStyle w:val="BodyText"/>
      </w:pPr>
      <w:r>
        <w:rPr>
          <w:b/>
          <w:bCs/>
        </w:rPr>
        <w:t xml:space="preserve">Tỷ lệ đóng năm 2026</w:t>
      </w:r>
      <w:r>
        <w:t xml:space="preserve">: NSDLĐ</w:t>
      </w:r>
      <w:r>
        <w:t xml:space="preserve"> </w:t>
      </w:r>
      <w:r>
        <w:rPr>
          <w:b/>
          <w:bCs/>
        </w:rPr>
        <w:t xml:space="preserve">21,5%</w:t>
      </w:r>
      <w:r>
        <w:t xml:space="preserve">, NLĐ</w:t>
      </w:r>
      <w:r>
        <w:t xml:space="preserve"> </w:t>
      </w:r>
      <w:r>
        <w:rPr>
          <w:b/>
          <w:bCs/>
        </w:rPr>
        <w:t xml:space="preserve">10,5%</w:t>
      </w:r>
      <w:r>
        <w:t xml:space="preserve">, tổng</w:t>
      </w:r>
      <w:r>
        <w:t xml:space="preserve"> </w:t>
      </w:r>
      <w:r>
        <w:rPr>
          <w:b/>
          <w:bCs/>
        </w:rPr>
        <w:t xml:space="preserve">32%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Tính theo con số cũ sẽ thiếu mức trần khoảng 8%.</w:t>
      </w:r>
      <w:r>
        <w:t xml:space="preserve"> </w:t>
      </w:r>
      <w:r>
        <w:t xml:space="preserve">Tài liệu cũ hầu hết vẫn ghi 2.340.000.</w:t>
      </w:r>
      <w:r>
        <w:t xml:space="preserve"> </w:t>
      </w:r>
      <w:r>
        <w:t xml:space="preserve">Hai con số 2.530.000 và 50.600.000 được</w:t>
      </w:r>
      <w:r>
        <w:t xml:space="preserve"> </w:t>
      </w:r>
      <w:r>
        <w:rPr>
          <w:b/>
          <w:bCs/>
        </w:rPr>
        <w:t xml:space="preserve">cổng thông tin BHXH Việt Nam</w:t>
      </w:r>
      <w:r>
        <w:t xml:space="preserve"> </w:t>
      </w:r>
      <w:r>
        <w:t xml:space="preserve">xác nhận.</w:t>
      </w:r>
    </w:p>
    <w:p>
      <w:pPr>
        <w:pStyle w:val="BlockText"/>
      </w:pPr>
      <w:r>
        <w:rPr>
          <w:b/>
          <w:bCs/>
        </w:rPr>
        <w:t xml:space="preserve">〔Chưa xác nhận〕</w:t>
      </w:r>
      <w:r>
        <w:t xml:space="preserve"> </w:t>
      </w:r>
      <w:r>
        <w:t xml:space="preserve">số hiệu văn bản ấn định mức 2.530.000: bài viết chính thức của cơ quan</w:t>
      </w:r>
      <w:r>
        <w:t xml:space="preserve"> </w:t>
      </w:r>
      <w:r>
        <w:t xml:space="preserve">BHXH chỉ dẫn Luật BHXH 2024, không nêu số hiệu nghị định.</w:t>
      </w:r>
      <w:r>
        <w:t xml:space="preserve"> </w:t>
      </w:r>
      <w:r>
        <w:rPr>
          <w:b/>
          <w:bCs/>
        </w:rPr>
        <w:t xml:space="preserve">Bản này vì vậy ghi số tiền và ngày áp dụng, không ghi số hiệu.</w:t>
      </w:r>
    </w:p>
    <w:bookmarkEnd w:id="15"/>
    <w:bookmarkStart w:id="16" w:name="lương-tối-thiểu-vùng-tăng-72-từ-01012026"/>
    <w:p>
      <w:pPr>
        <w:pStyle w:val="Heading3"/>
      </w:pPr>
      <w:r>
        <w:t xml:space="preserve">2.7. Lương tối thiểu vùng: tăng 7,2% từ 01/01/2026</w:t>
      </w:r>
    </w:p>
    <w:p>
      <w:pPr>
        <w:pStyle w:val="FirstParagraph"/>
      </w:pPr>
      <w:r>
        <w:t xml:space="preserve">Theo</w:t>
      </w:r>
      <w:r>
        <w:t xml:space="preserve"> </w:t>
      </w:r>
      <w:r>
        <w:rPr>
          <w:b/>
          <w:bCs/>
        </w:rPr>
        <w:t xml:space="preserve">Nghị định 293/2025/NĐ-CP</w:t>
      </w:r>
      <w:r>
        <w:t xml:space="preserve"> </w:t>
      </w:r>
      <w:r>
        <w:t xml:space="preserve">(thay Nghị định 74/2024/NĐ-CP):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Vùng</w:t>
            </w:r>
          </w:p>
        </w:tc>
        <w:tc>
          <w:tcPr/>
          <w:p>
            <w:pPr>
              <w:pStyle w:val="Compact"/>
            </w:pPr>
            <w:r>
              <w:t xml:space="preserve">Mức tháng (VNĐ)</w:t>
            </w:r>
          </w:p>
        </w:tc>
        <w:tc>
          <w:tcPr/>
          <w:p>
            <w:pPr>
              <w:pStyle w:val="Compact"/>
            </w:pPr>
            <w:r>
              <w:t xml:space="preserve">Mức giờ (VNĐ)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</w:t>
            </w:r>
          </w:p>
        </w:tc>
        <w:tc>
          <w:tcPr/>
          <w:p>
            <w:pPr>
              <w:pStyle w:val="Compact"/>
            </w:pPr>
            <w:r>
              <w:t xml:space="preserve">5.310.000</w:t>
            </w:r>
          </w:p>
        </w:tc>
        <w:tc>
          <w:tcPr/>
          <w:p>
            <w:pPr>
              <w:pStyle w:val="Compact"/>
            </w:pPr>
            <w:r>
              <w:t xml:space="preserve">25.500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</w:t>
            </w:r>
          </w:p>
        </w:tc>
        <w:tc>
          <w:tcPr/>
          <w:p>
            <w:pPr>
              <w:pStyle w:val="Compact"/>
            </w:pPr>
            <w:r>
              <w:t xml:space="preserve">4.730.000</w:t>
            </w:r>
          </w:p>
        </w:tc>
        <w:tc>
          <w:tcPr/>
          <w:p>
            <w:pPr>
              <w:pStyle w:val="Compact"/>
            </w:pPr>
            <w:r>
              <w:t xml:space="preserve">22.700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III</w:t>
            </w:r>
          </w:p>
        </w:tc>
        <w:tc>
          <w:tcPr/>
          <w:p>
            <w:pPr>
              <w:pStyle w:val="Compact"/>
            </w:pPr>
            <w:r>
              <w:t xml:space="preserve">4.140.000</w:t>
            </w:r>
          </w:p>
        </w:tc>
        <w:tc>
          <w:tcPr/>
          <w:p>
            <w:pPr>
              <w:pStyle w:val="Compact"/>
            </w:pPr>
            <w:r>
              <w:t xml:space="preserve">20.000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IV</w:t>
            </w:r>
          </w:p>
        </w:tc>
        <w:tc>
          <w:tcPr/>
          <w:p>
            <w:pPr>
              <w:pStyle w:val="Compact"/>
            </w:pPr>
            <w:r>
              <w:t xml:space="preserve">3.700.000</w:t>
            </w:r>
          </w:p>
        </w:tc>
        <w:tc>
          <w:tcPr/>
          <w:p>
            <w:pPr>
              <w:pStyle w:val="Compact"/>
            </w:pPr>
            <w:r>
              <w:t xml:space="preserve">17.800</w:t>
            </w:r>
          </w:p>
        </w:tc>
      </w:tr>
    </w:tbl>
    <w:p>
      <w:pPr>
        <w:pStyle w:val="BlockText"/>
      </w:pPr>
      <w:r>
        <w:rPr>
          <w:b/>
          <w:bCs/>
        </w:rPr>
        <w:t xml:space="preserve">Tác động liên đới</w:t>
      </w:r>
      <w:r>
        <w:t xml:space="preserve">: tiền lương tháng đóng BHXH</w:t>
      </w:r>
      <w:r>
        <w:t xml:space="preserve"> </w:t>
      </w:r>
      <w:r>
        <w:rPr>
          <w:b/>
          <w:bCs/>
        </w:rPr>
        <w:t xml:space="preserve">không được thấp hơn lương tối thiểu vùng</w:t>
      </w:r>
      <w:r>
        <w:t xml:space="preserve"> </w:t>
      </w:r>
      <w:r>
        <w:t xml:space="preserve">tại thời điểm đóng (điểm 2.6 khoản 2 Điều 6 Quy trình kèm Quyết định 595/QĐ-BHXH).</w:t>
      </w:r>
      <w:r>
        <w:t xml:space="preserve"> </w:t>
      </w:r>
      <w:r>
        <w:t xml:space="preserve">Vì vậy lương tối thiểu vừa điều chỉnh thì căn cứ đóng của người lao động ở gần mức sàn</w:t>
      </w:r>
      <w:r>
        <w:t xml:space="preserve"> </w:t>
      </w:r>
      <w:r>
        <w:rPr>
          <w:b/>
          <w:bCs/>
        </w:rPr>
        <w:t xml:space="preserve">cũng phải tăng theo</w:t>
      </w:r>
      <w:r>
        <w:t xml:space="preserve">.</w:t>
      </w:r>
    </w:p>
    <w:bookmarkEnd w:id="16"/>
    <w:bookmarkStart w:id="17" w:name="X229e8b2530b693f3d79a98a9fe8110161d214cf"/>
    <w:p>
      <w:pPr>
        <w:pStyle w:val="Heading3"/>
      </w:pPr>
      <w:r>
        <w:t xml:space="preserve">2.8. Thuế nhà thầu nước ngoài: phần TNDN của thông tư cũ đã bị bãi bỏ</w:t>
      </w:r>
    </w:p>
    <w:p>
      <w:pPr>
        <w:pStyle w:val="FirstParagraph"/>
      </w:pPr>
      <w:r>
        <w:rPr>
          <w:b/>
          <w:bCs/>
        </w:rPr>
        <w:t xml:space="preserve">Thông tư 20/2026/TT-BTC</w:t>
      </w:r>
      <w:r>
        <w:t xml:space="preserve"> </w:t>
      </w:r>
      <w:r>
        <w:t xml:space="preserve">(12/3/2026)</w:t>
      </w:r>
      <w:r>
        <w:t xml:space="preserve"> </w:t>
      </w:r>
      <w:r>
        <w:rPr>
          <w:b/>
          <w:bCs/>
        </w:rPr>
        <w:t xml:space="preserve">bãi bỏ</w:t>
      </w:r>
      <w:r>
        <w:t xml:space="preserve"> </w:t>
      </w:r>
      <w:r>
        <w:t xml:space="preserve">các quy định</w:t>
      </w:r>
      <w:r>
        <w:t xml:space="preserve"> </w:t>
      </w:r>
      <w:r>
        <w:rPr>
          <w:b/>
          <w:bCs/>
        </w:rPr>
        <w:t xml:space="preserve">về thuế TNDN đối với</w:t>
      </w:r>
      <w:r>
        <w:rPr>
          <w:b/>
          <w:bCs/>
        </w:rPr>
        <w:t xml:space="preserve"> </w:t>
      </w:r>
      <w:r>
        <w:rPr>
          <w:b/>
          <w:bCs/>
        </w:rPr>
        <w:t xml:space="preserve">nhà thầu nước ngoài</w:t>
      </w:r>
      <w:r>
        <w:t xml:space="preserve"> </w:t>
      </w:r>
      <w:r>
        <w:t xml:space="preserve">tại các Điều 1, 2, 7, 10, 13 (trừ điểm 6.11 khoản 1 Điều 13) và 16</w:t>
      </w:r>
      <w:r>
        <w:t xml:space="preserve"> </w:t>
      </w:r>
      <w:r>
        <w:t xml:space="preserve">của Thông tư 103/2014/TT-BTC, đồng thời thay thế Thông tư 78/2014 và 96/2015.</w:t>
      </w:r>
    </w:p>
    <w:p>
      <w:pPr>
        <w:pStyle w:val="BodyText"/>
      </w:pPr>
      <w:r>
        <w:rPr>
          <w:b/>
          <w:bCs/>
        </w:rPr>
        <w:t xml:space="preserve">Quy định chuyển tiếp</w:t>
      </w:r>
      <w:r>
        <w:t xml:space="preserve">: hợp đồng nhà thầu và hợp đồng thầu phụ ký</w:t>
      </w:r>
      <w:r>
        <w:t xml:space="preserve"> </w:t>
      </w:r>
      <w:r>
        <w:rPr>
          <w:b/>
          <w:bCs/>
        </w:rPr>
        <w:t xml:space="preserve">trước ngày 12/3/2026</w:t>
      </w:r>
      <w:r>
        <w:t xml:space="preserve"> </w:t>
      </w:r>
      <w:r>
        <w:t xml:space="preserve">và áp dụng phương pháp hỗn hợp theo Thông tư 103/2014 tiếp tục áp dụng văn bản</w:t>
      </w:r>
      <w:r>
        <w:t xml:space="preserve"> </w:t>
      </w:r>
      <w:r>
        <w:t xml:space="preserve">có hiệu lực tại thời điểm ký.</w:t>
      </w:r>
    </w:p>
    <w:p>
      <w:pPr>
        <w:pStyle w:val="BlockText"/>
      </w:pPr>
      <w:r>
        <w:rPr>
          <w:b/>
          <w:bCs/>
        </w:rPr>
        <w:t xml:space="preserve">〔Bản này không liệt kê bảng thuế suất〕</w:t>
      </w:r>
      <w:r>
        <w:t xml:space="preserve"> </w:t>
      </w:r>
      <w:r>
        <w:t xml:space="preserve">Thuế suất nhà thầu theo ngành tra được hiện nay</w:t>
      </w:r>
      <w:r>
        <w:t xml:space="preserve"> </w:t>
      </w:r>
      <w:r>
        <w:t xml:space="preserve">đến từ website các công ty dịch vụ kế toán, là nguồn thứ cấp và một phần có thể vẫn theo</w:t>
      </w:r>
      <w:r>
        <w:t xml:space="preserve"> </w:t>
      </w:r>
      <w:r>
        <w:t xml:space="preserve">quy định cũ.</w:t>
      </w:r>
      <w:r>
        <w:t xml:space="preserve"> </w:t>
      </w:r>
      <w:r>
        <w:rPr>
          <w:b/>
          <w:bCs/>
        </w:rPr>
        <w:t xml:space="preserve">Chưa rà soát tới văn bản gốc nên không liệt kê</w:t>
      </w:r>
      <w:r>
        <w:t xml:space="preserve">; vui lòng căn cứ thông tư</w:t>
      </w:r>
      <w:r>
        <w:t xml:space="preserve"> </w:t>
      </w:r>
      <w:r>
        <w:t xml:space="preserve">hoặc ý kiến chuyên gia thuế.</w:t>
      </w:r>
    </w:p>
    <w:bookmarkEnd w:id="17"/>
    <w:bookmarkStart w:id="18" w:name="hóa-đơn-điện-tử-nghị-định-702025nđ-cp"/>
    <w:p>
      <w:pPr>
        <w:pStyle w:val="Heading3"/>
      </w:pPr>
      <w:r>
        <w:t xml:space="preserve">2.9. Hóa đơn điện tử: Nghị định 70/2025/NĐ-CP</w:t>
      </w:r>
    </w:p>
    <w:p>
      <w:pPr>
        <w:pStyle w:val="FirstParagraph"/>
      </w:pPr>
      <w:r>
        <w:t xml:space="preserve">Ban hành 20/3/2025,</w:t>
      </w:r>
      <w:r>
        <w:t xml:space="preserve"> </w:t>
      </w:r>
      <w:r>
        <w:rPr>
          <w:b/>
          <w:bCs/>
        </w:rPr>
        <w:t xml:space="preserve">hiệu lực 01/6/2025</w:t>
      </w:r>
      <w:r>
        <w:t xml:space="preserve">, sửa đổi</w:t>
      </w:r>
      <w:r>
        <w:t xml:space="preserve"> </w:t>
      </w:r>
      <w:r>
        <w:rPr>
          <w:b/>
          <w:bCs/>
        </w:rPr>
        <w:t xml:space="preserve">40/61 điều của Nghị định 123/2020/NĐ-CP</w:t>
      </w:r>
      <w:r>
        <w:t xml:space="preserve">.</w:t>
      </w:r>
      <w:r>
        <w:t xml:space="preserve"> </w:t>
      </w:r>
      <w:r>
        <w:t xml:space="preserve">Ba điểm liên quan trực tiếp đến thao tác hằng ngày: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Thời điểm lập hóa đơn</w:t>
      </w:r>
      <w:r>
        <w:t xml:space="preserve"> </w:t>
      </w:r>
      <w:r>
        <w:t xml:space="preserve">đối với bán hàng hóa là</w:t>
      </w:r>
      <w:r>
        <w:t xml:space="preserve"> </w:t>
      </w:r>
      <w:r>
        <w:rPr>
          <w:b/>
          <w:bCs/>
        </w:rPr>
        <w:t xml:space="preserve">thời điểm chuyển giao quyền sở hữu</w:t>
      </w:r>
      <w:r>
        <w:rPr>
          <w:b/>
          <w:bCs/>
        </w:rPr>
        <w:t xml:space="preserve"> </w:t>
      </w:r>
      <w:r>
        <w:rPr>
          <w:b/>
          <w:bCs/>
        </w:rPr>
        <w:t xml:space="preserve">hoặc quyền sử dụng cho người mua, không phân biệt đã thu được tiền hay chưa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Ủy nhiệm lập hóa đơn</w:t>
      </w:r>
      <w:r>
        <w:t xml:space="preserve">: người bán (gồm hộ kinh doanh, cá nhân kinh doanh) được ủy nhiệm</w:t>
      </w:r>
      <w:r>
        <w:t xml:space="preserve"> </w:t>
      </w:r>
      <w:r>
        <w:t xml:space="preserve">cho bên thứ ba lập hóa đơn điện tử;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Xử lý hóa đơn sai</w:t>
      </w:r>
      <w:r>
        <w:t xml:space="preserve">: trước khi điều chỉnh hoặc thay thế hóa đơn đã lập sai,</w:t>
      </w:r>
      <w:r>
        <w:t xml:space="preserve"> </w:t>
      </w:r>
      <w:r>
        <w:t xml:space="preserve">người bán và người mua</w:t>
      </w:r>
      <w:r>
        <w:t xml:space="preserve"> </w:t>
      </w:r>
      <w:r>
        <w:rPr>
          <w:b/>
          <w:bCs/>
        </w:rPr>
        <w:t xml:space="preserve">phải có văn bản thỏa thuận</w:t>
      </w:r>
      <w:r>
        <w:t xml:space="preserve"> </w:t>
      </w:r>
      <w:r>
        <w:t xml:space="preserve">ghi rõ nội dung sai.</w:t>
      </w:r>
    </w:p>
    <w:bookmarkEnd w:id="18"/>
    <w:bookmarkStart w:id="19" w:name="X76e2dcef214411ff1a7e3bd5afc040f1fdb7605"/>
    <w:p>
      <w:pPr>
        <w:pStyle w:val="Heading3"/>
      </w:pPr>
      <w:r>
        <w:t xml:space="preserve">2.10. Cải cách bộ máy: Sở Kế hoạch và Đầu tư hợp nhất vào Sở Tài chính</w:t>
      </w:r>
    </w:p>
    <w:p>
      <w:pPr>
        <w:pStyle w:val="FirstParagraph"/>
      </w:pPr>
      <w:r>
        <w:rPr>
          <w:b/>
          <w:bCs/>
        </w:rPr>
        <w:t xml:space="preserve">Sở Kế hoạch và Đầu tư cấp tỉnh đã hợp nhất vào Sở Tài chính</w:t>
      </w:r>
      <w:r>
        <w:t xml:space="preserve">; chức năng đăng ký kinh doanh</w:t>
      </w:r>
      <w:r>
        <w:t xml:space="preserve"> </w:t>
      </w:r>
      <w:r>
        <w:t xml:space="preserve">hiện do</w:t>
      </w:r>
      <w:r>
        <w:t xml:space="preserve"> </w:t>
      </w:r>
      <w:r>
        <w:rPr>
          <w:b/>
          <w:bCs/>
        </w:rPr>
        <w:t xml:space="preserve">Phòng Đăng ký kinh doanh và Tài chính doanh nghiệp</w:t>
      </w:r>
      <w:r>
        <w:t xml:space="preserve"> </w:t>
      </w:r>
      <w:r>
        <w:t xml:space="preserve">thuộc Sở Tài chính đảm nhiệm.</w:t>
      </w:r>
    </w:p>
    <w:p>
      <w:pPr>
        <w:pStyle w:val="BlockText"/>
      </w:pPr>
      <w:r>
        <w:t xml:space="preserve">Đây không phải thay đổi về thuế, nhưng</w:t>
      </w:r>
      <w:r>
        <w:t xml:space="preserve"> </w:t>
      </w:r>
      <w:r>
        <w:rPr>
          <w:b/>
          <w:bCs/>
        </w:rPr>
        <w:t xml:space="preserve">nó thay đổi nơi bạn đến làm thủ tục</w:t>
      </w:r>
      <w:r>
        <w:t xml:space="preserve">.</w:t>
      </w:r>
      <w:r>
        <w:t xml:space="preserve"> </w:t>
      </w:r>
      <w:r>
        <w:t xml:space="preserve">Tài liệu tiếng Trung trước năm 2025 hầu hết vẫn ghi</w:t>
      </w:r>
      <w:r>
        <w:t xml:space="preserve"> </w:t>
      </w:r>
      <w:r>
        <w:t xml:space="preserve">“Sở Kế hoạch và Đầu tư”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iii.-theo-vai-trò-bạn-cần-sửa-gì"/>
    <w:p>
      <w:pPr>
        <w:pStyle w:val="Heading2"/>
      </w:pPr>
      <w:r>
        <w:t xml:space="preserve">III. Theo vai trò: bạn cần sửa gì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Bạn là</w:t>
            </w:r>
          </w:p>
        </w:tc>
        <w:tc>
          <w:tcPr/>
          <w:p>
            <w:pPr>
              <w:pStyle w:val="Compact"/>
            </w:pPr>
            <w:r>
              <w:t xml:space="preserve">Nội dung phải rà lại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Kế toán doanh nghiệp tại Việt Nam</w:t>
            </w:r>
          </w:p>
        </w:tc>
        <w:tc>
          <w:tcPr/>
          <w:p>
            <w:pPr>
              <w:pStyle w:val="Compact"/>
            </w:pPr>
            <w:r>
              <w:t xml:space="preserve">Mức thuế TNDN (có đạt 15%/17% không) · ngày hết hạn GTGT 8% · thời điểm lập hóa đơn · không kê khai lệ phí môn bài nữa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Nhân sự / tiền lương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Biểu 5 bậc + mức giảm trừ mới</w:t>
            </w:r>
            <w:r>
              <w:t xml:space="preserve"> </w:t>
            </w:r>
            <w:r>
              <w:t xml:space="preserve">trong hệ thống lương (chuyển theo kỳ tính thuế, không phải ngày 01/7) · sàn và trần căn cứ đóng BHXH · tăng căn cứ đóng theo lương tối thiểu vùng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Cá nhân cho thuê nhà / hộ kinh doanh</w:t>
            </w:r>
          </w:p>
        </w:tc>
        <w:tc>
          <w:tcPr/>
          <w:p>
            <w:pPr>
              <w:pStyle w:val="Compact"/>
            </w:pPr>
            <w:r>
              <w:t xml:space="preserve">Doanh thu năm có dưới</w:t>
            </w:r>
            <w:r>
              <w:t xml:space="preserve"> </w:t>
            </w:r>
            <w:r>
              <w:rPr>
                <w:b/>
                <w:bCs/>
              </w:rPr>
              <w:t xml:space="preserve">500 triệu đồng</w:t>
            </w:r>
            <w:r>
              <w:t xml:space="preserve"> </w:t>
            </w:r>
            <w:r>
              <w:t xml:space="preserve">không (miễn thuế nhưng vẫn kê khai) · đã bỏ khoán, chuyển tự kê khai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Dự định thành lập công ty</w:t>
            </w:r>
          </w:p>
        </w:tc>
        <w:tc>
          <w:tcPr/>
          <w:p>
            <w:pPr>
              <w:pStyle w:val="Compact"/>
            </w:pPr>
            <w:r>
              <w:t xml:space="preserve">Không còn lệ phí môn bài · cơ quan tiếp nhận là phòng thuộc Sở Tài chính · khai thuế ban đầu vẫn trong</w:t>
            </w:r>
            <w:r>
              <w:t xml:space="preserve"> </w:t>
            </w:r>
            <w:r>
              <w:rPr>
                <w:b/>
                <w:bCs/>
              </w:rPr>
              <w:t xml:space="preserve">10 ngày</w:t>
            </w:r>
            <w:r>
              <w:t xml:space="preserve"> </w:t>
            </w:r>
            <w:r>
              <w:t xml:space="preserve">sau khi có ERC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Ký hợp đồng với nhà cung cấp nước ngoài</w:t>
            </w:r>
          </w:p>
        </w:tc>
        <w:tc>
          <w:tcPr/>
          <w:p>
            <w:pPr>
              <w:pStyle w:val="Compact"/>
            </w:pPr>
            <w:r>
              <w:t xml:space="preserve">Căn cứ cũ về thuế nhà thầu đã bị bãi bỏ một phần; chú ý mốc chuyển tiếp 12/3/2026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iv.-căn-cứ-pháp-lý-được-dẫn-chiếu"/>
    <w:p>
      <w:pPr>
        <w:pStyle w:val="Heading2"/>
      </w:pPr>
      <w:r>
        <w:t xml:space="preserve">IV. Căn cứ pháp lý được dẫn chiếu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Hiệu lực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Bãi bỏ lệ phí môn bài</w:t>
            </w:r>
          </w:p>
        </w:tc>
        <w:tc>
          <w:tcPr/>
          <w:p>
            <w:pPr>
              <w:pStyle w:val="Compact"/>
            </w:pPr>
            <w:r>
              <w:t xml:space="preserve">Điều 10 Nghị quyết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TNDN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  <w:tc>
          <w:tcPr/>
          <w:p>
            <w:pPr>
              <w:pStyle w:val="Compact"/>
            </w:pPr>
            <w:r>
              <w:t xml:space="preserve">01/10/2025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GTGT và mức giảm 8%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t xml:space="preserve">· Nghị quyết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  <w:tc>
          <w:tcPr/>
          <w:p>
            <w:pPr>
              <w:pStyle w:val="Compact"/>
            </w:pPr>
            <w:r>
              <w:t xml:space="preserve">01/7/2025 – 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Luật Thuế TNCN mới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  <w:r>
              <w:t xml:space="preserve"> </w:t>
            </w:r>
            <w:r>
              <w:t xml:space="preserve">(Điều 9, 10)</w:t>
            </w:r>
          </w:p>
        </w:tc>
        <w:tc>
          <w:tcPr/>
          <w:p>
            <w:pPr>
              <w:pStyle w:val="Compact"/>
            </w:pPr>
            <w:r>
              <w:t xml:space="preserve">01/7/2026 (tiền lương từ kỳ tính thuế 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Giảm trừ gia cảnh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110/2025/UBTVQH15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Ngưỡng doanh thu và bỏ khoán</w:t>
            </w:r>
          </w:p>
        </w:tc>
        <w:tc>
          <w:tcPr/>
          <w:p>
            <w:pPr>
              <w:pStyle w:val="Compact"/>
            </w:pPr>
            <w:r>
              <w:t xml:space="preserve">Luật Thuế TNCN sửa đổi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Tỷ lệ và căn cứ đóng BHXH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41/2024/QH15</w:t>
            </w:r>
            <w:r>
              <w:t xml:space="preserve"> </w:t>
            </w:r>
            <w:r>
              <w:t xml:space="preserve">(Điều 32–34, 141)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Lương tối thiểu vùng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Sàn lương tối thiểu với căn cứ đóng</w:t>
            </w:r>
          </w:p>
        </w:tc>
        <w:tc>
          <w:tcPr/>
          <w:p>
            <w:pPr>
              <w:pStyle w:val="Compact"/>
            </w:pPr>
            <w:r>
              <w:t xml:space="preserve">Quyết định</w:t>
            </w:r>
            <w:r>
              <w:t xml:space="preserve"> </w:t>
            </w:r>
            <w:r>
              <w:rPr>
                <w:b/>
                <w:bCs/>
              </w:rPr>
              <w:t xml:space="preserve">595/QĐ-BHXH</w:t>
            </w:r>
            <w:r>
              <w:t xml:space="preserve">, Quy trình 6.2.6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nhà thầu nước ngoài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  <w:r>
              <w:t xml:space="preserve"> </w:t>
            </w:r>
            <w:r>
              <w:t xml:space="preserve">· Thông tư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  <w:tc>
          <w:tcPr/>
          <w:p>
            <w:pPr>
              <w:pStyle w:val="Compact"/>
            </w:pPr>
            <w:r>
              <w:t xml:space="preserve">12/3/2026 / 01/7/2025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Hóa đơn điện tử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  <w:tc>
          <w:tcPr/>
          <w:p>
            <w:pPr>
              <w:pStyle w:val="Compact"/>
            </w:pPr>
            <w:r>
              <w:t xml:space="preserve">01/6/2025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22"/>
    <w:bookmarkStart w:id="23" w:name="v.-hướng-dẫn-sử-dụng-và-lưu-ý-rủi-ro"/>
    <w:p>
      <w:pPr>
        <w:pStyle w:val="Heading2"/>
      </w:pPr>
      <w:r>
        <w:t xml:space="preserve">V. Hướng dẫn sử dụng và lưu ý rủi ro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Đây là tài liệu tham khảo chung, không phải ý kiến pháp lý hay tư vấn thuế.</w:t>
      </w:r>
      <w:r>
        <w:t xml:space="preserve"> </w:t>
      </w:r>
      <w:r>
        <w:t xml:space="preserve">Cách áp dụng khác nhau theo ngành nghề, quy mô và cấu trúc giao dịch;</w:t>
      </w:r>
      <w:r>
        <w:t xml:space="preserve"> </w:t>
      </w:r>
      <w:r>
        <w:t xml:space="preserve">vui lòng thực hiện theo ý kiến của luật sư hành nghề hoặc chuyên gia thuế tại Việt Nam.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Những nội dung bản này cố ý không viết</w:t>
      </w:r>
      <w:r>
        <w:t xml:space="preserve">: bảng thuế suất nhà thầu nước ngoài theo ngành;</w:t>
      </w:r>
      <w:r>
        <w:t xml:space="preserve"> </w:t>
      </w:r>
      <w:r>
        <w:t xml:space="preserve">thuế suất cụ thể với cho thuê tài sản khi vượt ngưỡng; tiêu chí đầy đủ xác định cá nhân</w:t>
      </w:r>
      <w:r>
        <w:t xml:space="preserve"> </w:t>
      </w:r>
      <w:r>
        <w:t xml:space="preserve">cư trú / không cư trú; số hiệu văn bản ấn định mức tham chiếu 2.530.000.</w:t>
      </w:r>
      <w:r>
        <w:t xml:space="preserve"> </w:t>
      </w:r>
      <w:r>
        <w:t xml:space="preserve">Bốn nội dung này chưa rà soát được tới văn bản gốc;</w:t>
      </w:r>
      <w:r>
        <w:t xml:space="preserve"> </w:t>
      </w:r>
      <w:r>
        <w:rPr>
          <w:b/>
          <w:bCs/>
        </w:rPr>
        <w:t xml:space="preserve">theo nguyên tắc biên tập của chuyên mục,</w:t>
      </w:r>
      <w:r>
        <w:rPr>
          <w:b/>
          <w:bCs/>
        </w:rPr>
        <w:t xml:space="preserve"> </w:t>
      </w:r>
      <w:r>
        <w:rPr>
          <w:b/>
          <w:bCs/>
        </w:rPr>
        <w:t xml:space="preserve">con số chưa kiểm chứng thì không viết</w:t>
      </w:r>
      <w:r>
        <w:t xml:space="preserve">, thay vì điền một giá trị nghe có vẻ hợp lý.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Tài liệu này có một chính sách sẽ tự hết hiệu lực.</w:t>
      </w:r>
      <w:r>
        <w:t xml:space="preserve"> </w:t>
      </w:r>
      <w:r>
        <w:t xml:space="preserve">Mức giảm thuế GTGT 8% hết hạn</w:t>
      </w:r>
      <w:r>
        <w:t xml:space="preserve"> </w:t>
      </w:r>
      <w:r>
        <w:rPr>
          <w:b/>
          <w:bCs/>
        </w:rPr>
        <w:t xml:space="preserve">31/12/2026</w:t>
      </w:r>
      <w:r>
        <w:t xml:space="preserve">; trước khi sử dụng vui lòng kiểm tra đã có nghị quyết gia hạn mới hay chưa.</w:t>
      </w:r>
      <w:r>
        <w:t xml:space="preserve"> </w:t>
      </w:r>
      <w:r>
        <w:rPr>
          <w:b/>
          <w:bCs/>
        </w:rPr>
        <w:t xml:space="preserve">Tài liệu này nằm trong danh mục rà soát theo quý.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Những thay đổi trọng yếu về thuế và lao động tại Việt Nam năm 2026</dc:title>
  <dc:creator/>
  <dc:language>vi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