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to Tax Procedures and Initial Post-Incorporation Procedures for Enterprises in Vietnam (2026 Edition)</w:t>
      </w:r>
    </w:p>
    <w:bookmarkStart w:id="29" w:name="X2ec60b1cc59f40bc0cfdee055e3258e2243943d"/>
    <w:p>
      <w:pPr>
        <w:pStyle w:val="Heading1"/>
      </w:pPr>
      <w:r>
        <w:t xml:space="preserve">GUIDE TO TAX PROCEDURES AND INITIAL POST-INCORPORATION PROCEDURES FOR ENTERPRISES IN VIETNAM</w:t>
      </w:r>
    </w:p>
    <w:p>
      <w:pPr>
        <w:pStyle w:val="FirstParagraph"/>
      </w:pPr>
      <w:r>
        <w:rPr>
          <w:b/>
          <w:bCs/>
        </w:rPr>
        <w:t xml:space="preserve">2026 Edition</w:t>
      </w:r>
    </w:p>
    <w:p>
      <w:pPr>
        <w:pStyle w:val="BodyText"/>
      </w:pPr>
      <w:r>
        <w:rPr>
          <w:b/>
          <w:bCs/>
        </w:rPr>
        <w:t xml:space="preserve">Legal verification date: 18 September 2026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  <w:bCs/>
        </w:rPr>
        <w:t xml:space="preserve">Three major changes in this edition — read this first if you are working from</w:t>
      </w:r>
      <w:r>
        <w:rPr>
          <w:b/>
          <w:bCs/>
        </w:rPr>
        <w:t xml:space="preserve"> </w:t>
      </w:r>
      <w:r>
        <w:rPr>
          <w:b/>
          <w:bCs/>
        </w:rPr>
        <w:t xml:space="preserve">pre-2025 material.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business licence fee (lệ phí môn bài) has been abolished</w:t>
      </w:r>
      <w:r>
        <w:t xml:space="preserve">; collection and</w:t>
      </w:r>
      <w:r>
        <w:t xml:space="preserve"> </w:t>
      </w:r>
      <w:r>
        <w:t xml:space="preserve">payment ceased on</w:t>
      </w:r>
      <w:r>
        <w:t xml:space="preserve"> </w:t>
      </w:r>
      <w:r>
        <w:rPr>
          <w:b/>
          <w:bCs/>
        </w:rPr>
        <w:t xml:space="preserve">1 January 2026</w:t>
      </w:r>
      <w:r>
        <w:t xml:space="preserve">, under</w:t>
      </w:r>
      <w:r>
        <w:t xml:space="preserve"> </w:t>
      </w:r>
      <w:r>
        <w:rPr>
          <w:b/>
          <w:bCs/>
        </w:rPr>
        <w:t xml:space="preserve">Article 10 of Resolution</w:t>
      </w:r>
      <w:r>
        <w:rPr>
          <w:b/>
          <w:bCs/>
        </w:rPr>
        <w:t xml:space="preserve"> </w:t>
      </w:r>
      <w:r>
        <w:rPr>
          <w:b/>
          <w:bCs/>
        </w:rPr>
        <w:t xml:space="preserve">No. 198/2025/QH15</w:t>
      </w:r>
      <w:r>
        <w:t xml:space="preserve"> </w:t>
      </w:r>
      <w:r>
        <w:t xml:space="preserve">(passed 17 May 2025). This is the first outright abolition of a</w:t>
      </w:r>
      <w:r>
        <w:t xml:space="preserve"> </w:t>
      </w:r>
      <w:r>
        <w:t xml:space="preserve">levy that had existed for nearly sixty years.</w:t>
      </w:r>
      <w:r>
        <w:t xml:space="preserve"> </w:t>
      </w:r>
      <w:r>
        <w:rPr>
          <w:b/>
          <w:bCs/>
        </w:rPr>
        <w:t xml:space="preserve">Most Chinese- and English-language</w:t>
      </w:r>
      <w:r>
        <w:rPr>
          <w:b/>
          <w:bCs/>
        </w:rPr>
        <w:t xml:space="preserve"> </w:t>
      </w:r>
      <w:r>
        <w:rPr>
          <w:b/>
          <w:bCs/>
        </w:rPr>
        <w:t xml:space="preserve">guides to setting up in Vietnam still instruct readers to declare it.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Corporate income tax gains two preferential rates</w:t>
      </w:r>
      <w:r>
        <w:t xml:space="preserve">:</w:t>
      </w:r>
      <w:r>
        <w:t xml:space="preserve"> </w:t>
      </w:r>
      <w:r>
        <w:rPr>
          <w:b/>
          <w:bCs/>
        </w:rPr>
        <w:t xml:space="preserve">15%</w:t>
      </w:r>
      <w:r>
        <w:t xml:space="preserve"> </w:t>
      </w:r>
      <w:r>
        <w:t xml:space="preserve">for annual revenue not</w:t>
      </w:r>
      <w:r>
        <w:t xml:space="preserve"> </w:t>
      </w:r>
      <w:r>
        <w:t xml:space="preserve">exceeding VND 3 billion and</w:t>
      </w:r>
      <w:r>
        <w:t xml:space="preserve"> </w:t>
      </w:r>
      <w:r>
        <w:rPr>
          <w:b/>
          <w:bCs/>
        </w:rPr>
        <w:t xml:space="preserve">17%</w:t>
      </w:r>
      <w:r>
        <w:t xml:space="preserve"> </w:t>
      </w:r>
      <w:r>
        <w:t xml:space="preserve">for revenue above VND 3 billion up to VND 50</w:t>
      </w:r>
      <w:r>
        <w:t xml:space="preserve"> </w:t>
      </w:r>
      <w:r>
        <w:t xml:space="preserve">billion, under the</w:t>
      </w:r>
      <w:r>
        <w:t xml:space="preserve"> </w:t>
      </w:r>
      <w:r>
        <w:rPr>
          <w:b/>
          <w:bCs/>
        </w:rPr>
        <w:t xml:space="preserve">Law on Corporate Income Tax No. 67/2025/QH15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revenue threshold for business households and individual traders rises from</w:t>
      </w:r>
      <w:r>
        <w:rPr>
          <w:b/>
          <w:bCs/>
        </w:rPr>
        <w:t xml:space="preserve"> </w:t>
      </w:r>
      <w:r>
        <w:rPr>
          <w:b/>
          <w:bCs/>
        </w:rPr>
        <w:t xml:space="preserve">VND 100 million to VND 500 million per year</w:t>
      </w:r>
      <w:r>
        <w:t xml:space="preserve"> </w:t>
      </w:r>
      <w:r>
        <w:t xml:space="preserve">from 1 January 2026; at or below that</w:t>
      </w:r>
      <w:r>
        <w:t xml:space="preserve"> </w:t>
      </w:r>
      <w:r>
        <w:t xml:space="preserve">level both VAT and personal income tax are exempt, and the</w:t>
      </w:r>
      <w:r>
        <w:t xml:space="preserve"> </w:t>
      </w:r>
      <w:r>
        <w:rPr>
          <w:b/>
          <w:bCs/>
        </w:rPr>
        <w:t xml:space="preserve">presumptive (khoán)</w:t>
      </w:r>
      <w:r>
        <w:rPr>
          <w:b/>
          <w:bCs/>
        </w:rPr>
        <w:t xml:space="preserve"> </w:t>
      </w:r>
      <w:r>
        <w:rPr>
          <w:b/>
          <w:bCs/>
        </w:rPr>
        <w:t xml:space="preserve">method is abolished in favour of self-declaration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Exemption is not exemption from filing</w:t>
      </w:r>
      <w:r>
        <w:t xml:space="preserve"> </w:t>
      </w:r>
      <w:r>
        <w:t xml:space="preserve">— declarations must still be made fully,</w:t>
      </w:r>
      <w:r>
        <w:t xml:space="preserve"> </w:t>
      </w:r>
      <w:r>
        <w:t xml:space="preserve">truthfully and on time below the threshold.</w:t>
      </w:r>
    </w:p>
    <w:p>
      <w:r>
        <w:pict>
          <v:rect style="width:0;height:1.5pt" o:hralign="center" o:hrstd="t" o:hr="t"/>
        </w:pict>
      </w:r>
    </w:p>
    <w:bookmarkStart w:id="14" w:name="X28d76cc438e298c69925dea627487a4498c0e25"/>
    <w:p>
      <w:pPr>
        <w:pStyle w:val="Heading2"/>
      </w:pPr>
      <w:r>
        <w:t xml:space="preserve">I. Initial Tax Procedures After Incorporation</w:t>
      </w:r>
    </w:p>
    <w:bookmarkStart w:id="9" w:name="initial-tax-declaration"/>
    <w:p>
      <w:pPr>
        <w:pStyle w:val="Heading3"/>
      </w:pPr>
      <w:r>
        <w:t xml:space="preserve">1.1. Initial tax declaration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Deadline</w:t>
      </w:r>
      <w:r>
        <w:t xml:space="preserve">: submit within</w:t>
      </w:r>
      <w:r>
        <w:t xml:space="preserve"> </w:t>
      </w:r>
      <w:r>
        <w:rPr>
          <w:b/>
          <w:bCs/>
        </w:rPr>
        <w:t xml:space="preserve">10 days</w:t>
      </w:r>
      <w:r>
        <w:t xml:space="preserve"> </w:t>
      </w:r>
      <w:r>
        <w:t xml:space="preserve">of the date the Enterprise Registration</w:t>
      </w:r>
      <w:r>
        <w:t xml:space="preserve"> </w:t>
      </w:r>
      <w:r>
        <w:t xml:space="preserve">Certificate is issued.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Contents</w:t>
      </w:r>
      <w:r>
        <w:t xml:space="preserve">: charter capital, business activities, employee information and the like.</w:t>
      </w:r>
    </w:p>
    <w:bookmarkEnd w:id="9"/>
    <w:bookmarkStart w:id="10" w:name="required-documents"/>
    <w:p>
      <w:pPr>
        <w:pStyle w:val="Heading3"/>
      </w:pPr>
      <w:r>
        <w:t xml:space="preserve">1.2. Required documents</w:t>
      </w:r>
    </w:p>
    <w:p>
      <w:pPr>
        <w:pStyle w:val="Compact"/>
        <w:numPr>
          <w:ilvl w:val="0"/>
          <w:numId w:val="1003"/>
        </w:numPr>
      </w:pPr>
      <w:r>
        <w:t xml:space="preserve">Registration form for the accounting system and invoice issuance method;</w:t>
      </w:r>
    </w:p>
    <w:p>
      <w:pPr>
        <w:pStyle w:val="Compact"/>
        <w:numPr>
          <w:ilvl w:val="0"/>
          <w:numId w:val="1003"/>
        </w:numPr>
      </w:pPr>
      <w:r>
        <w:t xml:space="preserve">Appointment decisions for the chief accountant and the manager / legal representative;</w:t>
      </w:r>
    </w:p>
    <w:p>
      <w:pPr>
        <w:pStyle w:val="Compact"/>
        <w:numPr>
          <w:ilvl w:val="0"/>
          <w:numId w:val="1003"/>
        </w:numPr>
      </w:pPr>
      <w:r>
        <w:t xml:space="preserve">Fixed-asset depreciation method (if any);</w:t>
      </w:r>
    </w:p>
    <w:p>
      <w:pPr>
        <w:pStyle w:val="Compact"/>
        <w:numPr>
          <w:ilvl w:val="0"/>
          <w:numId w:val="1003"/>
        </w:numPr>
      </w:pPr>
      <w:r>
        <w:t xml:space="preserve">Copy of the Enterprise Registration Certificate;</w:t>
      </w:r>
    </w:p>
    <w:p>
      <w:pPr>
        <w:pStyle w:val="Compact"/>
        <w:numPr>
          <w:ilvl w:val="0"/>
          <w:numId w:val="1003"/>
        </w:numPr>
      </w:pPr>
      <w:r>
        <w:t xml:space="preserve">Power of attorney (if applicable).</w:t>
      </w:r>
    </w:p>
    <w:bookmarkEnd w:id="10"/>
    <w:bookmarkStart w:id="12" w:name="X20cfefc99b6685fb7b4c93714f82208de78c707"/>
    <w:p>
      <w:pPr>
        <w:pStyle w:val="Heading3"/>
      </w:pPr>
      <w:r>
        <w:t xml:space="preserve">1.3. Registration for the electronic tax system</w:t>
      </w:r>
    </w:p>
    <w:p>
      <w:pPr>
        <w:pStyle w:val="FirstParagraph"/>
      </w:pPr>
      <w:r>
        <w:t xml:space="preserve">Register an electronic tax transaction account at</w:t>
      </w:r>
      <w:r>
        <w:t xml:space="preserve"> </w:t>
      </w:r>
      <w:hyperlink r:id="rId11">
        <w:r>
          <w:rPr>
            <w:rStyle w:val="Hyperlink"/>
          </w:rPr>
          <w:t xml:space="preserve">https://dichvucong.gdt.gov.vn/tthc/homelogin</w:t>
        </w:r>
      </w:hyperlink>
      <w:r>
        <w:t xml:space="preserve"> </w:t>
      </w:r>
      <w:r>
        <w:t xml:space="preserve">and bind a digital signature for online</w:t>
      </w:r>
      <w:r>
        <w:t xml:space="preserve"> </w:t>
      </w:r>
      <w:r>
        <w:t xml:space="preserve">filing and payment.</w:t>
      </w:r>
    </w:p>
    <w:bookmarkEnd w:id="12"/>
    <w:bookmarkStart w:id="13" w:name="registration-for-electronic-invoices"/>
    <w:p>
      <w:pPr>
        <w:pStyle w:val="Heading3"/>
      </w:pPr>
      <w:r>
        <w:t xml:space="preserve">1.4. Registration for electronic invoices</w:t>
      </w:r>
    </w:p>
    <w:p>
      <w:pPr>
        <w:pStyle w:val="FirstParagraph"/>
      </w:pPr>
      <w:r>
        <w:t xml:space="preserve">To be completed after the initial tax declaration procedures.</w:t>
      </w:r>
    </w:p>
    <w:p>
      <w:pPr>
        <w:pStyle w:val="BlockText"/>
      </w:pPr>
      <w:r>
        <w:rPr>
          <w:b/>
          <w:bCs/>
        </w:rPr>
        <w:t xml:space="preserve">Decree No. 70/2025/NĐ-CP</w:t>
      </w:r>
      <w:r>
        <w:t xml:space="preserve"> </w:t>
      </w:r>
      <w:r>
        <w:t xml:space="preserve">(issued 20 March 2025,</w:t>
      </w:r>
      <w:r>
        <w:t xml:space="preserve"> </w:t>
      </w:r>
      <w:r>
        <w:rPr>
          <w:b/>
          <w:bCs/>
        </w:rPr>
        <w:t xml:space="preserve">effective 1 June 2025</w:t>
      </w:r>
      <w:r>
        <w:t xml:space="preserve">) amended</w:t>
      </w:r>
      <w:r>
        <w:t xml:space="preserve"> </w:t>
      </w:r>
      <w:r>
        <w:rPr>
          <w:b/>
          <w:bCs/>
        </w:rPr>
        <w:t xml:space="preserve">40 of the 61 articles</w:t>
      </w:r>
      <w:r>
        <w:t xml:space="preserve"> </w:t>
      </w:r>
      <w:r>
        <w:t xml:space="preserve">of Decree No. 123/2020/NĐ-CP. Three points bear directly on</w:t>
      </w:r>
      <w:r>
        <w:t xml:space="preserve"> </w:t>
      </w:r>
      <w:r>
        <w:t xml:space="preserve">day-to-day practice: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Time of issuance</w:t>
      </w:r>
      <w:r>
        <w:t xml:space="preserve"> </w:t>
      </w:r>
      <w:r>
        <w:t xml:space="preserve">for a sale of goods is</w:t>
      </w:r>
      <w:r>
        <w:t xml:space="preserve"> </w:t>
      </w:r>
      <w:r>
        <w:rPr>
          <w:b/>
          <w:bCs/>
        </w:rPr>
        <w:t xml:space="preserve">when ownership or the right of use passes</w:t>
      </w:r>
      <w:r>
        <w:rPr>
          <w:b/>
          <w:bCs/>
        </w:rPr>
        <w:t xml:space="preserve"> </w:t>
      </w:r>
      <w:r>
        <w:rPr>
          <w:b/>
          <w:bCs/>
        </w:rPr>
        <w:t xml:space="preserve">to the buyer, whether or not payment has been received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Delegated issuance</w:t>
      </w:r>
      <w:r>
        <w:t xml:space="preserve">: a seller (including business households and individual traders)</w:t>
      </w:r>
      <w:r>
        <w:t xml:space="preserve"> </w:t>
      </w:r>
      <w:r>
        <w:t xml:space="preserve">may authorise a third party to issue electronic invoices.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Correcting an incorrect invoice</w:t>
      </w:r>
      <w:r>
        <w:t xml:space="preserve">: before adjusting or replacing an electronic</w:t>
      </w:r>
      <w:r>
        <w:t xml:space="preserve"> </w:t>
      </w:r>
      <w:r>
        <w:t xml:space="preserve">invoice issued in error,</w:t>
      </w:r>
      <w:r>
        <w:t xml:space="preserve"> </w:t>
      </w:r>
      <w:r>
        <w:rPr>
          <w:b/>
          <w:bCs/>
        </w:rPr>
        <w:t xml:space="preserve">seller and buyer must first have a written agreement</w:t>
      </w:r>
      <w:r>
        <w:rPr>
          <w:b/>
          <w:bCs/>
        </w:rPr>
        <w:t xml:space="preserve"> </w:t>
      </w:r>
      <w:r>
        <w:rPr>
          <w:b/>
          <w:bCs/>
        </w:rPr>
        <w:t xml:space="preserve">identifying the error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3"/>
    <w:bookmarkEnd w:id="14"/>
    <w:bookmarkStart w:id="20" w:name="ii.-taxes-and-applicable-rates"/>
    <w:p>
      <w:pPr>
        <w:pStyle w:val="Heading2"/>
      </w:pPr>
      <w:r>
        <w:t xml:space="preserve">II. Taxes and Applicable Rates</w:t>
      </w:r>
    </w:p>
    <w:bookmarkStart w:id="15" w:name="value-added-tax-vat-gtgt"/>
    <w:p>
      <w:pPr>
        <w:pStyle w:val="Heading3"/>
      </w:pPr>
      <w:r>
        <w:t xml:space="preserve">2.1. Value Added Tax (VAT / GTGT)</w:t>
      </w:r>
    </w:p>
    <w:p>
      <w:pPr>
        <w:pStyle w:val="FirstParagraph"/>
      </w:pPr>
      <w:r>
        <w:rPr>
          <w:b/>
          <w:bCs/>
        </w:rPr>
        <w:t xml:space="preserve">Methods</w:t>
      </w:r>
      <w:r>
        <w:t xml:space="preserve">: the credit (deduction) method, or the direct calculation method.</w:t>
      </w:r>
    </w:p>
    <w:p>
      <w:pPr>
        <w:pStyle w:val="BodyText"/>
      </w:pPr>
      <w:r>
        <w:rPr>
          <w:b/>
          <w:bCs/>
        </w:rPr>
        <w:t xml:space="preserve">Filing cycle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Cycle</w:t>
            </w:r>
          </w:p>
        </w:tc>
        <w:tc>
          <w:tcPr/>
          <w:p>
            <w:pPr>
              <w:pStyle w:val="Compact"/>
            </w:pPr>
            <w:r>
              <w:t xml:space="preserve">Who it applies 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Enterprises with revenue</w:t>
            </w:r>
            <w:r>
              <w:t xml:space="preserve"> </w:t>
            </w:r>
            <w:r>
              <w:rPr>
                <w:b/>
                <w:bCs/>
              </w:rPr>
              <w:t xml:space="preserve">exceeding VND 50 billion</w:t>
            </w:r>
            <w:r>
              <w:t xml:space="preserve"> </w:t>
            </w:r>
            <w:r>
              <w:t xml:space="preserve">in the preceding year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Quarterly</w:t>
            </w:r>
          </w:p>
        </w:tc>
        <w:tc>
          <w:tcPr/>
          <w:p>
            <w:pPr>
              <w:pStyle w:val="Compact"/>
            </w:pPr>
            <w:r>
              <w:t xml:space="preserve">Enterprises with revenue</w:t>
            </w:r>
            <w:r>
              <w:t xml:space="preserve"> </w:t>
            </w:r>
            <w:r>
              <w:rPr>
                <w:b/>
                <w:bCs/>
              </w:rPr>
              <w:t xml:space="preserve">not exceeding VND 50 billion</w:t>
            </w:r>
            <w:r>
              <w:t xml:space="preserve"> </w:t>
            </w:r>
            <w:r>
              <w:t xml:space="preserve">in the preceding year, or</w:t>
            </w:r>
            <w:r>
              <w:t xml:space="preserve"> </w:t>
            </w:r>
            <w:r>
              <w:rPr>
                <w:b/>
                <w:bCs/>
              </w:rPr>
              <w:t xml:space="preserve">newly established enterprises</w:t>
            </w:r>
          </w:p>
        </w:tc>
      </w:tr>
    </w:tbl>
    <w:p>
      <w:pPr>
        <w:pStyle w:val="BodyText"/>
      </w:pPr>
      <w:r>
        <w:rPr>
          <w:b/>
          <w:bCs/>
        </w:rPr>
        <w:t xml:space="preserve">Rates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Governing law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Law on Value Added Tax No. 48/2024/QH15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Standard rate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Temporary reduction</w:t>
            </w:r>
          </w:p>
        </w:tc>
        <w:tc>
          <w:tcPr/>
          <w:p>
            <w:pPr>
              <w:pStyle w:val="Compact"/>
            </w:pPr>
            <w:r>
              <w:t xml:space="preserve">To</w:t>
            </w:r>
            <w:r>
              <w:t xml:space="preserve"> </w:t>
            </w:r>
            <w:r>
              <w:rPr>
                <w:b/>
                <w:bCs/>
              </w:rPr>
              <w:t xml:space="preserve">8%</w:t>
            </w:r>
            <w:r>
              <w:t xml:space="preserve">, for the period</w:t>
            </w:r>
            <w:r>
              <w:t xml:space="preserve"> </w:t>
            </w:r>
            <w:r>
              <w:rPr>
                <w:b/>
                <w:bCs/>
              </w:rPr>
              <w:t xml:space="preserve">1 July 2025 – 31 December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the reduction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Resolution No. 204/2025/QH15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Decree No. 174/2025/NĐ-CP</w:t>
            </w:r>
          </w:p>
        </w:tc>
      </w:tr>
    </w:tbl>
    <w:p>
      <w:pPr>
        <w:pStyle w:val="BodyText"/>
      </w:pPr>
      <w:r>
        <w:rPr>
          <w:b/>
          <w:bCs/>
        </w:rPr>
        <w:t xml:space="preserve">Sectors excluded from the reduction</w:t>
      </w:r>
      <w:r>
        <w:t xml:space="preserve">: telecommunications, finance, banking, securities,</w:t>
      </w:r>
      <w:r>
        <w:t xml:space="preserve"> </w:t>
      </w:r>
      <w:r>
        <w:t xml:space="preserve">insurance, real estate business, metal products, mining products (except coal), and goods</w:t>
      </w:r>
      <w:r>
        <w:t xml:space="preserve"> </w:t>
      </w:r>
      <w:r>
        <w:t xml:space="preserve">and services subject to special consumption tax (except fuel).</w:t>
      </w:r>
    </w:p>
    <w:p>
      <w:pPr>
        <w:pStyle w:val="BlockText"/>
      </w:pPr>
      <w:r>
        <w:rPr>
          <w:b/>
          <w:bCs/>
        </w:rPr>
        <w:t xml:space="preserve">Note the expiry</w:t>
      </w:r>
      <w:r>
        <w:t xml:space="preserve">: the 8% rate</w:t>
      </w:r>
      <w:r>
        <w:t xml:space="preserve"> </w:t>
      </w:r>
      <w:r>
        <w:rPr>
          <w:b/>
          <w:bCs/>
        </w:rPr>
        <w:t xml:space="preserve">ends on 31 December 2026</w:t>
      </w:r>
      <w:r>
        <w:t xml:space="preserve">. Absent a new extending</w:t>
      </w:r>
      <w:r>
        <w:t xml:space="preserve"> </w:t>
      </w:r>
      <w:r>
        <w:t xml:space="preserve">resolution, the rate returns to 10% from 2027. Price clauses in contracts spanning the</w:t>
      </w:r>
      <w:r>
        <w:t xml:space="preserve"> </w:t>
      </w:r>
      <w:r>
        <w:t xml:space="preserve">year-end should take this into account.</w:t>
      </w:r>
    </w:p>
    <w:p>
      <w:pPr>
        <w:pStyle w:val="BlockText"/>
      </w:pPr>
      <w:r>
        <w:t xml:space="preserve">The source guide said</w:t>
      </w:r>
      <w:r>
        <w:t xml:space="preserve"> </w:t>
      </w:r>
      <w:r>
        <w:t xml:space="preserve">“standard rate: applied in accordance with current applicable laws</w:t>
      </w:r>
      <w:r>
        <w:t xml:space="preserve"> </w:t>
      </w:r>
      <w:r>
        <w:t xml:space="preserve">and regulations”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which supplies no rate at all</w:t>
      </w:r>
      <w:r>
        <w:t xml:space="preserve">, though the rate is precisely what a</w:t>
      </w:r>
      <w:r>
        <w:t xml:space="preserve"> </w:t>
      </w:r>
      <w:r>
        <w:t xml:space="preserve">reader consults this document to find.</w:t>
      </w:r>
    </w:p>
    <w:bookmarkEnd w:id="15"/>
    <w:bookmarkStart w:id="16" w:name="corporate-income-tax-cit-tndn"/>
    <w:p>
      <w:pPr>
        <w:pStyle w:val="Heading3"/>
      </w:pPr>
      <w:r>
        <w:t xml:space="preserve">2.2. Corporate Income Tax (CIT / TNDN)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Governing law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Law on Corporate Income Tax No. 67/2025/QH15</w:t>
            </w:r>
            <w:r>
              <w:t xml:space="preserve">, passed 14 June 2025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Effective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 October 2025</w:t>
            </w:r>
            <w:r>
              <w:t xml:space="preserve">, applying from the 2025 tax period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Standard rate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15% band</w:t>
            </w:r>
          </w:p>
        </w:tc>
        <w:tc>
          <w:tcPr/>
          <w:p>
            <w:pPr>
              <w:pStyle w:val="Compact"/>
            </w:pPr>
            <w:r>
              <w:t xml:space="preserve">Total annual revenue</w:t>
            </w:r>
            <w:r>
              <w:t xml:space="preserve"> </w:t>
            </w:r>
            <w:r>
              <w:rPr>
                <w:b/>
                <w:bCs/>
              </w:rPr>
              <w:t xml:space="preserve">not exceeding VND 3 billion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17% band</w:t>
            </w:r>
          </w:p>
        </w:tc>
        <w:tc>
          <w:tcPr/>
          <w:p>
            <w:pPr>
              <w:pStyle w:val="Compact"/>
            </w:pPr>
            <w:r>
              <w:t xml:space="preserve">Total annual revenue</w:t>
            </w:r>
            <w:r>
              <w:t xml:space="preserve"> </w:t>
            </w:r>
            <w:r>
              <w:rPr>
                <w:b/>
                <w:bCs/>
              </w:rPr>
              <w:t xml:space="preserve">above VND 3 billion up to VND 50 billion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for the band</w:t>
            </w:r>
          </w:p>
        </w:tc>
        <w:tc>
          <w:tcPr/>
          <w:p>
            <w:pPr>
              <w:pStyle w:val="Compact"/>
            </w:pPr>
            <w:r>
              <w:t xml:space="preserve">Total revenue of the</w:t>
            </w:r>
            <w:r>
              <w:t xml:space="preserve"> </w:t>
            </w:r>
            <w:r>
              <w:rPr>
                <w:b/>
                <w:bCs/>
              </w:rPr>
              <w:t xml:space="preserve">immediately preceding CIT period</w:t>
            </w:r>
            <w:r>
              <w:t xml:space="preserve">; the Government will provide detail for newly established enterprises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Payment</w:t>
            </w:r>
          </w:p>
        </w:tc>
        <w:tc>
          <w:tcPr/>
          <w:p>
            <w:pPr>
              <w:pStyle w:val="Compact"/>
            </w:pPr>
            <w:r>
              <w:t xml:space="preserve">Quarterly provisional payment, with annual finalisation at the end of the fiscal year</w:t>
            </w:r>
          </w:p>
        </w:tc>
      </w:tr>
    </w:tbl>
    <w:p>
      <w:pPr>
        <w:pStyle w:val="BlockText"/>
      </w:pPr>
      <w:r>
        <w:rPr>
          <w:b/>
          <w:bCs/>
        </w:rPr>
        <w:t xml:space="preserve">On the source of the effective date</w:t>
      </w:r>
      <w:r>
        <w:t xml:space="preserve">: secondary sources give both 1 October 2025 and</w:t>
      </w:r>
      <w:r>
        <w:t xml:space="preserve"> </w:t>
      </w:r>
      <w:r>
        <w:t xml:space="preserve">1 January 2026. This guide follows the</w:t>
      </w:r>
      <w:r>
        <w:t xml:space="preserve"> </w:t>
      </w:r>
      <w:r>
        <w:rPr>
          <w:b/>
          <w:bCs/>
        </w:rPr>
        <w:t xml:space="preserve">Government Gazette (congbao.chinhphu.vn)</w:t>
      </w:r>
      <w:r>
        <w:t xml:space="preserve">, whose</w:t>
      </w:r>
      <w:r>
        <w:t xml:space="preserve"> </w:t>
      </w:r>
      <w:r>
        <w:t xml:space="preserve">attribute panel for the law records</w:t>
      </w:r>
      <w:r>
        <w:t xml:space="preserve"> </w:t>
      </w:r>
      <w:r>
        <w:rPr>
          <w:rStyle w:val="VerbatimChar"/>
        </w:rPr>
        <w:t xml:space="preserve">Ngày hiệu lực: 01/10/2025</w:t>
      </w:r>
      <w:r>
        <w:t xml:space="preserve">.</w:t>
      </w:r>
    </w:p>
    <w:p>
      <w:pPr>
        <w:pStyle w:val="BlockText"/>
      </w:pPr>
      <w:r>
        <w:t xml:space="preserve">The source guide gave only</w:t>
      </w:r>
      <w:r>
        <w:t xml:space="preserve"> </w:t>
      </w:r>
      <w:r>
        <w:t xml:space="preserve">“common rate: provisional tax = taxable income × 20%”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made no mention of the 15% and 17% bands</w:t>
      </w:r>
      <w:r>
        <w:t xml:space="preserve"> </w:t>
      </w:r>
      <w:r>
        <w:t xml:space="preserve">— though most small and medium</w:t>
      </w:r>
      <w:r>
        <w:t xml:space="preserve"> </w:t>
      </w:r>
      <w:r>
        <w:t xml:space="preserve">foreign-invested enterprises fall below the VND 50 billion mark, which makes those bands</w:t>
      </w:r>
      <w:r>
        <w:t xml:space="preserve"> </w:t>
      </w:r>
      <w:r>
        <w:t xml:space="preserve">the ones that matter most to them.</w:t>
      </w:r>
    </w:p>
    <w:bookmarkEnd w:id="16"/>
    <w:bookmarkStart w:id="17" w:name="personal-income-tax-pit-tncn"/>
    <w:p>
      <w:pPr>
        <w:pStyle w:val="Heading3"/>
      </w:pPr>
      <w:r>
        <w:t xml:space="preserve">2.3. Personal Income Tax (PIT / TNCN)</w:t>
      </w:r>
    </w:p>
    <w:p>
      <w:pPr>
        <w:pStyle w:val="Compact"/>
        <w:numPr>
          <w:ilvl w:val="0"/>
          <w:numId w:val="1005"/>
        </w:numPr>
      </w:pPr>
      <w:r>
        <w:t xml:space="preserve">Applies to resident individuals with taxable employment income.</w:t>
      </w:r>
    </w:p>
    <w:p>
      <w:pPr>
        <w:pStyle w:val="Compact"/>
        <w:numPr>
          <w:ilvl w:val="0"/>
          <w:numId w:val="1005"/>
        </w:numPr>
      </w:pPr>
      <w:r>
        <w:t xml:space="preserve">Declared monthly or quarterly depending on payroll scale.</w:t>
      </w:r>
    </w:p>
    <w:p>
      <w:pPr>
        <w:pStyle w:val="Compact"/>
        <w:numPr>
          <w:ilvl w:val="0"/>
          <w:numId w:val="1005"/>
        </w:numPr>
      </w:pPr>
      <w:r>
        <w:t xml:space="preserve">The employer withholds at source.</w:t>
      </w:r>
    </w:p>
    <w:p>
      <w:pPr>
        <w:pStyle w:val="FirstParagraph"/>
      </w:pPr>
      <w:r>
        <w:rPr>
          <w:b/>
          <w:bCs/>
        </w:rPr>
        <w:t xml:space="preserve">Family circumstance deductions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Deduction</w:t>
            </w:r>
          </w:p>
        </w:tc>
        <w:tc>
          <w:tcPr/>
          <w:p>
            <w:pPr>
              <w:pStyle w:val="Compact"/>
            </w:pPr>
            <w:r>
              <w:t xml:space="preserve">Previous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From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taxpayer</w:t>
            </w:r>
          </w:p>
        </w:tc>
        <w:tc>
          <w:tcPr/>
          <w:p>
            <w:pPr>
              <w:pStyle w:val="Compact"/>
            </w:pPr>
            <w:r>
              <w:t xml:space="preserve">VND 11 million/month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VND 15.5 million/month</w:t>
            </w:r>
            <w:r>
              <w:t xml:space="preserve"> </w:t>
            </w:r>
            <w:r>
              <w:t xml:space="preserve">(VND 186 million/year)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dependant</w:t>
            </w:r>
          </w:p>
        </w:tc>
        <w:tc>
          <w:tcPr/>
          <w:p>
            <w:pPr>
              <w:pStyle w:val="Compact"/>
            </w:pPr>
            <w:r>
              <w:t xml:space="preserve">VND 4.4 million/month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VND 6.2 million/month</w:t>
            </w:r>
          </w:p>
        </w:tc>
      </w:tr>
    </w:tbl>
    <w:p>
      <w:pPr>
        <w:pStyle w:val="BodyText"/>
      </w:pPr>
      <w:r>
        <w:t xml:space="preserve">Basis:</w:t>
      </w:r>
      <w:r>
        <w:t xml:space="preserve"> </w:t>
      </w:r>
      <w:r>
        <w:rPr>
          <w:b/>
          <w:bCs/>
        </w:rPr>
        <w:t xml:space="preserve">Resolution No. 110/2025/UBTVQH15</w:t>
      </w:r>
      <w:r>
        <w:t xml:space="preserve"> </w:t>
      </w:r>
      <w:r>
        <w:t xml:space="preserve">of the Standing Committee of the National</w:t>
      </w:r>
      <w:r>
        <w:t xml:space="preserve"> </w:t>
      </w:r>
      <w:r>
        <w:t xml:space="preserve">Assembly (passed 17 October 2025),</w:t>
      </w:r>
      <w:r>
        <w:t xml:space="preserve"> </w:t>
      </w:r>
      <w:r>
        <w:rPr>
          <w:b/>
          <w:bCs/>
        </w:rPr>
        <w:t xml:space="preserve">effective 1 January 2026 and applying from the 2026 tax</w:t>
      </w:r>
      <w:r>
        <w:rPr>
          <w:b/>
          <w:bCs/>
        </w:rPr>
        <w:t xml:space="preserve"> </w:t>
      </w:r>
      <w:r>
        <w:rPr>
          <w:b/>
          <w:bCs/>
        </w:rPr>
        <w:t xml:space="preserve">period</w:t>
      </w:r>
      <w:r>
        <w:t xml:space="preserve">, replacing Resolution No. 954/2020/UBTVQH14. An increase of more than 40%.</w:t>
      </w:r>
    </w:p>
    <w:p>
      <w:pPr>
        <w:pStyle w:val="BodyText"/>
      </w:pPr>
      <w:r>
        <w:rPr>
          <w:b/>
          <w:bCs/>
        </w:rPr>
        <w:t xml:space="preserve">The progressive rate table — seven bands become five from 2026</w:t>
      </w:r>
      <w:r>
        <w:t xml:space="preserve">:</w:t>
      </w:r>
    </w:p>
    <w:p>
      <w:pPr>
        <w:pStyle w:val="BodyText"/>
      </w:pPr>
      <w:r>
        <w:t xml:space="preserve">Vietnam has enacted a new</w:t>
      </w:r>
      <w:r>
        <w:t xml:space="preserve"> </w:t>
      </w:r>
      <w:r>
        <w:rPr>
          <w:b/>
          <w:bCs/>
        </w:rPr>
        <w:t xml:space="preserve">Law on Personal Income Tax No. 109/2025/QH15</w:t>
      </w:r>
      <w:r>
        <w:t xml:space="preserve"> </w:t>
      </w:r>
      <w:r>
        <w:t xml:space="preserve">(passed by the</w:t>
      </w:r>
      <w:r>
        <w:t xml:space="preserve"> </w:t>
      </w:r>
      <w:r>
        <w:t xml:space="preserve">National Assembly on 10 December 2025; four chapters, 29 articles),</w:t>
      </w:r>
      <w:r>
        <w:t xml:space="preserve"> </w:t>
      </w:r>
      <w:r>
        <w:rPr>
          <w:b/>
          <w:bCs/>
        </w:rPr>
        <w:t xml:space="preserve">effective 1 July 2026</w:t>
      </w:r>
      <w:r>
        <w:t xml:space="preserve">;</w:t>
      </w:r>
      <w:r>
        <w:t xml:space="preserve"> </w:t>
      </w:r>
      <w:r>
        <w:t xml:space="preserve">its provisions on resident individuals’ business income and employment income</w:t>
      </w:r>
      <w:r>
        <w:t xml:space="preserve"> </w:t>
      </w:r>
      <w:r>
        <w:rPr>
          <w:b/>
          <w:bCs/>
        </w:rPr>
        <w:t xml:space="preserve">apply from the 2026 tax year</w:t>
      </w:r>
      <w:r>
        <w:t xml:space="preserve">.</w:t>
      </w:r>
      <w:r>
        <w:t xml:space="preserve"> </w:t>
      </w:r>
      <w:r>
        <w:rPr>
          <w:b/>
          <w:bCs/>
        </w:rPr>
        <w:t xml:space="preserve">Article 9</w:t>
      </w:r>
      <w:r>
        <w:t xml:space="preserve"> </w:t>
      </w:r>
      <w:r>
        <w:t xml:space="preserve">replaces the seven-band table with</w:t>
      </w:r>
      <w:r>
        <w:t xml:space="preserve"> </w:t>
      </w:r>
      <w:r>
        <w:rPr>
          <w:b/>
          <w:bCs/>
        </w:rPr>
        <w:t xml:space="preserve">five bands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Band</w:t>
            </w:r>
          </w:p>
        </w:tc>
        <w:tc>
          <w:tcPr/>
          <w:p>
            <w:pPr>
              <w:pStyle w:val="Compact"/>
            </w:pPr>
            <w:r>
              <w:t xml:space="preserve">Monthly taxable income (VND)</w:t>
            </w:r>
          </w:p>
        </w:tc>
        <w:tc>
          <w:tcPr/>
          <w:p>
            <w:pPr>
              <w:pStyle w:val="Compact"/>
            </w:pPr>
            <w:r>
              <w:t xml:space="preserve">Annual taxable income (VND)</w:t>
            </w:r>
          </w:p>
        </w:tc>
        <w:tc>
          <w:tcPr/>
          <w:p>
            <w:pPr>
              <w:pStyle w:val="Compact"/>
            </w:pPr>
            <w:r>
              <w:t xml:space="preserve">Rate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Up to 10 million</w:t>
            </w:r>
          </w:p>
        </w:tc>
        <w:tc>
          <w:tcPr/>
          <w:p>
            <w:pPr>
              <w:pStyle w:val="Compact"/>
            </w:pPr>
            <w:r>
              <w:t xml:space="preserve">Up to 120 million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Over 10 million to 30 million</w:t>
            </w:r>
          </w:p>
        </w:tc>
        <w:tc>
          <w:tcPr/>
          <w:p>
            <w:pPr>
              <w:pStyle w:val="Compact"/>
            </w:pPr>
            <w:r>
              <w:t xml:space="preserve">Over 120 million to 360 million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Over 30 million to 60 million</w:t>
            </w:r>
          </w:p>
        </w:tc>
        <w:tc>
          <w:tcPr/>
          <w:p>
            <w:pPr>
              <w:pStyle w:val="Compact"/>
            </w:pPr>
            <w:r>
              <w:t xml:space="preserve">Over 360 million to 720 million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Over 60 million to 100 million</w:t>
            </w:r>
          </w:p>
        </w:tc>
        <w:tc>
          <w:tcPr/>
          <w:p>
            <w:pPr>
              <w:pStyle w:val="Compact"/>
            </w:pPr>
            <w:r>
              <w:t xml:space="preserve">Over 720 million to 1.2 billion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Over 100 million</w:t>
            </w:r>
          </w:p>
        </w:tc>
        <w:tc>
          <w:tcPr/>
          <w:p>
            <w:pPr>
              <w:pStyle w:val="Compact"/>
            </w:pPr>
            <w:r>
              <w:t xml:space="preserve">Over 1.2 billion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35%</w:t>
            </w:r>
          </w:p>
        </w:tc>
      </w:tr>
    </w:tbl>
    <w:p>
      <w:pPr>
        <w:pStyle w:val="BodyText"/>
      </w:pPr>
      <w:r>
        <w:rPr>
          <w:b/>
          <w:bCs/>
        </w:rPr>
        <w:t xml:space="preserve">Taxable income = assessable income − deductions</w:t>
      </w:r>
      <w:r>
        <w:t xml:space="preserve"> </w:t>
      </w:r>
      <w:r>
        <w:t xml:space="preserve">(family circumstance deductions,</w:t>
      </w:r>
      <w:r>
        <w:t xml:space="preserve"> </w:t>
      </w:r>
      <w:r>
        <w:t xml:space="preserve">statutory insurance contributions and voluntary supplementary pension contributions, and</w:t>
      </w:r>
      <w:r>
        <w:t xml:space="preserve"> </w:t>
      </w:r>
      <w:r>
        <w:t xml:space="preserve">qualifying charitable, humanitarian and educational donations).</w:t>
      </w:r>
    </w:p>
    <w:p>
      <w:pPr>
        <w:pStyle w:val="BlockText"/>
      </w:pPr>
      <w:r>
        <w:rPr>
          <w:b/>
          <w:bCs/>
        </w:rPr>
        <w:t xml:space="preserve">〔Deliberately not stated in this guide〕</w:t>
      </w:r>
      <w:r>
        <w:t xml:space="preserve"> </w:t>
      </w:r>
      <w:r>
        <w:t xml:space="preserve">the full criteria distinguishing resident from</w:t>
      </w:r>
      <w:r>
        <w:t xml:space="preserve"> </w:t>
      </w:r>
      <w:r>
        <w:t xml:space="preserve">non-resident individuals. That test turns on both days of presence and place of habitual</w:t>
      </w:r>
      <w:r>
        <w:t xml:space="preserve"> </w:t>
      </w:r>
      <w:r>
        <w:t xml:space="preserve">residence, and has not been independently verified against the primary legal text; under</w:t>
      </w:r>
      <w:r>
        <w:t xml:space="preserve"> </w:t>
      </w:r>
      <w:r>
        <w:t xml:space="preserve">this channel’s editorial rule, unverified content is not published.</w:t>
      </w:r>
    </w:p>
    <w:bookmarkEnd w:id="17"/>
    <w:bookmarkStart w:id="18" w:name="foreign-contractor-tax-fct"/>
    <w:p>
      <w:pPr>
        <w:pStyle w:val="Heading3"/>
      </w:pPr>
      <w:r>
        <w:t xml:space="preserve">2.4. Foreign Contractor Tax (FCT)</w:t>
      </w:r>
    </w:p>
    <w:p>
      <w:pPr>
        <w:pStyle w:val="FirstParagraph"/>
      </w:pPr>
      <w:r>
        <w:t xml:space="preserve">Applies where the enterprise contracts with a foreign party for the supply of services or goods.</w:t>
      </w:r>
    </w:p>
    <w:p>
      <w:pPr>
        <w:pStyle w:val="BlockText"/>
      </w:pPr>
      <w:r>
        <w:rPr>
          <w:b/>
          <w:bCs/>
        </w:rPr>
        <w:t xml:space="preserve">Material change</w:t>
      </w:r>
      <w:r>
        <w:t xml:space="preserve">:</w:t>
      </w:r>
      <w:r>
        <w:t xml:space="preserve"> </w:t>
      </w:r>
      <w:r>
        <w:rPr>
          <w:b/>
          <w:bCs/>
        </w:rPr>
        <w:t xml:space="preserve">Circular No. 20/2026/TT-BTC</w:t>
      </w:r>
      <w:r>
        <w:t xml:space="preserve"> </w:t>
      </w:r>
      <w:r>
        <w:t xml:space="preserve">(12 March 2026)</w:t>
      </w:r>
      <w:r>
        <w:t xml:space="preserve"> </w:t>
      </w:r>
      <w:r>
        <w:rPr>
          <w:b/>
          <w:bCs/>
        </w:rPr>
        <w:t xml:space="preserve">repealed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corporate income tax provisions for foreign contractors</w:t>
      </w:r>
      <w:r>
        <w:t xml:space="preserve"> </w:t>
      </w:r>
      <w:r>
        <w:t xml:space="preserve">in Articles 1, 2, 7, 10, 13</w:t>
      </w:r>
      <w:r>
        <w:t xml:space="preserve"> </w:t>
      </w:r>
      <w:r>
        <w:t xml:space="preserve">(except point 6.11 of clause 1 of Article 13) and 16 of Circular No. 103/2014/TT-BTC.</w:t>
      </w:r>
    </w:p>
    <w:p>
      <w:pPr>
        <w:pStyle w:val="BlockText"/>
      </w:pPr>
      <w:r>
        <w:rPr>
          <w:b/>
          <w:bCs/>
        </w:rPr>
        <w:t xml:space="preserve">Transitional rule</w:t>
      </w:r>
      <w:r>
        <w:t xml:space="preserve">: contractor and subcontractor agreements concluded</w:t>
      </w:r>
      <w:r>
        <w:t xml:space="preserve"> </w:t>
      </w:r>
      <w:r>
        <w:rPr>
          <w:b/>
          <w:bCs/>
        </w:rPr>
        <w:t xml:space="preserve">before</w:t>
      </w:r>
      <w:r>
        <w:rPr>
          <w:b/>
          <w:bCs/>
        </w:rPr>
        <w:t xml:space="preserve"> </w:t>
      </w:r>
      <w:r>
        <w:rPr>
          <w:b/>
          <w:bCs/>
        </w:rPr>
        <w:t xml:space="preserve">12 March 2026</w:t>
      </w:r>
      <w:r>
        <w:t xml:space="preserve"> </w:t>
      </w:r>
      <w:r>
        <w:t xml:space="preserve">and performed under the mixed method of Circular 103/2014 continue to be</w:t>
      </w:r>
      <w:r>
        <w:t xml:space="preserve"> </w:t>
      </w:r>
      <w:r>
        <w:t xml:space="preserve">governed by the law in force at the time of signing.</w:t>
      </w:r>
    </w:p>
    <w:p>
      <w:pPr>
        <w:pStyle w:val="BlockText"/>
      </w:pPr>
      <w:r>
        <w:t xml:space="preserve">Separately,</w:t>
      </w:r>
      <w:r>
        <w:t xml:space="preserve"> </w:t>
      </w:r>
      <w:r>
        <w:rPr>
          <w:b/>
          <w:bCs/>
        </w:rPr>
        <w:t xml:space="preserve">Circular No. 69/2025/TT-BTC</w:t>
      </w:r>
      <w:r>
        <w:t xml:space="preserve"> </w:t>
      </w:r>
      <w:r>
        <w:t xml:space="preserve">raised the VAT rate on digital services from</w:t>
      </w:r>
      <w:r>
        <w:t xml:space="preserve"> </w:t>
      </w:r>
      <w:r>
        <w:t xml:space="preserve">5% to</w:t>
      </w:r>
      <w:r>
        <w:t xml:space="preserve"> </w:t>
      </w:r>
      <w:r>
        <w:rPr>
          <w:b/>
          <w:bCs/>
        </w:rPr>
        <w:t xml:space="preserve">10%</w:t>
      </w:r>
      <w:r>
        <w:t xml:space="preserve"> </w:t>
      </w:r>
      <w:r>
        <w:t xml:space="preserve">with effect from</w:t>
      </w:r>
      <w:r>
        <w:t xml:space="preserve"> </w:t>
      </w:r>
      <w:r>
        <w:rPr>
          <w:b/>
          <w:bCs/>
        </w:rPr>
        <w:t xml:space="preserve">1 July 2025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〔Deliberately not stated in this guide〕</w:t>
      </w:r>
      <w:r>
        <w:t xml:space="preserve"> </w:t>
      </w:r>
      <w:r>
        <w:t xml:space="preserve">the sector-by-sector FCT rate table. The</w:t>
      </w:r>
      <w:r>
        <w:t xml:space="preserve"> </w:t>
      </w:r>
      <w:r>
        <w:t xml:space="preserve">banded figures currently findable come from commercial accounting firms’ websites — a</w:t>
      </w:r>
      <w:r>
        <w:t xml:space="preserve"> </w:t>
      </w:r>
      <w:r>
        <w:t xml:space="preserve">secondary source, parts of which may still reflect the repealed regime.</w:t>
      </w:r>
      <w:r>
        <w:t xml:space="preserve"> </w:t>
      </w:r>
      <w:r>
        <w:rPr>
          <w:b/>
          <w:bCs/>
        </w:rPr>
        <w:t xml:space="preserve">They are not reproduced here pending verification against the primary text.</w:t>
      </w:r>
    </w:p>
    <w:bookmarkEnd w:id="18"/>
    <w:bookmarkStart w:id="19" w:name="Xa4a1255c22413835e97eec91afc04a8a3b3ad86"/>
    <w:p>
      <w:pPr>
        <w:pStyle w:val="Heading3"/>
      </w:pPr>
      <w:r>
        <w:t xml:space="preserve">2.5. Business licence fee (lệ phí môn bài) —</w:t>
      </w:r>
      <w:r>
        <w:t xml:space="preserve"> </w:t>
      </w:r>
      <w:r>
        <w:rPr>
          <w:b/>
          <w:bCs/>
        </w:rPr>
        <w:t xml:space="preserve">abolished</w:t>
      </w:r>
    </w:p>
    <w:p>
      <w:pPr>
        <w:pStyle w:val="FirstParagraph"/>
      </w:pPr>
      <w:r>
        <w:t xml:space="preserve">Collection and payment ceased on</w:t>
      </w:r>
      <w:r>
        <w:t xml:space="preserve"> </w:t>
      </w:r>
      <w:r>
        <w:rPr>
          <w:b/>
          <w:bCs/>
        </w:rPr>
        <w:t xml:space="preserve">1 January 2026</w:t>
      </w:r>
      <w:r>
        <w:t xml:space="preserve"> </w:t>
      </w:r>
      <w:r>
        <w:t xml:space="preserve">under</w:t>
      </w:r>
      <w:r>
        <w:t xml:space="preserve"> </w:t>
      </w:r>
      <w:r>
        <w:rPr>
          <w:b/>
          <w:bCs/>
        </w:rPr>
        <w:t xml:space="preserve">Article 10 of Resolution</w:t>
      </w:r>
      <w:r>
        <w:rPr>
          <w:b/>
          <w:bCs/>
        </w:rPr>
        <w:t xml:space="preserve"> </w:t>
      </w:r>
      <w:r>
        <w:rPr>
          <w:b/>
          <w:bCs/>
        </w:rPr>
        <w:t xml:space="preserve">No. 198/2025/QH15</w:t>
      </w:r>
      <w:r>
        <w:t xml:space="preserve">. It applied to enterprises, business households, individual traders and</w:t>
      </w:r>
      <w:r>
        <w:t xml:space="preserve"> </w:t>
      </w:r>
      <w:r>
        <w:t xml:space="preserve">other related organisations and individuals.</w:t>
      </w:r>
    </w:p>
    <w:p>
      <w:r>
        <w:pict>
          <v:rect style="width:0;height:1.5pt" o:hralign="center" o:hrstd="t" o:hr="t"/>
        </w:pict>
      </w:r>
    </w:p>
    <w:bookmarkEnd w:id="19"/>
    <w:bookmarkEnd w:id="20"/>
    <w:bookmarkStart w:id="24" w:name="iii.-accounts-to-be-opened"/>
    <w:p>
      <w:pPr>
        <w:pStyle w:val="Heading2"/>
      </w:pPr>
      <w:r>
        <w:t xml:space="preserve">III. Accounts to Be Opened</w:t>
      </w:r>
    </w:p>
    <w:bookmarkStart w:id="21" w:name="bank-account"/>
    <w:p>
      <w:pPr>
        <w:pStyle w:val="Heading3"/>
      </w:pPr>
      <w:r>
        <w:t xml:space="preserve">3.1. Bank account</w:t>
      </w:r>
    </w:p>
    <w:p>
      <w:pPr>
        <w:pStyle w:val="FirstParagraph"/>
      </w:pPr>
      <w:r>
        <w:t xml:space="preserve">For transactions, salary payments, receipt of capital contributions and tax payments.</w:t>
      </w:r>
    </w:p>
    <w:bookmarkEnd w:id="21"/>
    <w:bookmarkStart w:id="22" w:name="electronic-tax-transaction-account"/>
    <w:p>
      <w:pPr>
        <w:pStyle w:val="Heading3"/>
      </w:pPr>
      <w:r>
        <w:t xml:space="preserve">3.2. Electronic tax transaction account</w:t>
      </w:r>
    </w:p>
    <w:p>
      <w:pPr>
        <w:pStyle w:val="Compact"/>
        <w:numPr>
          <w:ilvl w:val="0"/>
          <w:numId w:val="1006"/>
        </w:numPr>
      </w:pPr>
      <w:r>
        <w:t xml:space="preserve">Register at</w:t>
      </w:r>
      <w:r>
        <w:t xml:space="preserve"> </w:t>
      </w:r>
      <w:hyperlink r:id="rId11">
        <w:r>
          <w:rPr>
            <w:rStyle w:val="Hyperlink"/>
          </w:rPr>
          <w:t xml:space="preserve">https://dichvucong.gdt.gov.vn/tthc/homelogin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Bind a digital signature for online filing and payment.</w:t>
      </w:r>
    </w:p>
    <w:bookmarkEnd w:id="22"/>
    <w:bookmarkStart w:id="23" w:name="direct-investment-capital-account-dica"/>
    <w:p>
      <w:pPr>
        <w:pStyle w:val="Heading3"/>
      </w:pPr>
      <w:r>
        <w:t xml:space="preserve">3.3. Direct Investment Capital Account (DICA)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Circular No. 06/2019/TT-NHNN</w:t>
            </w:r>
            <w:r>
              <w:t xml:space="preserve"> </w:t>
            </w:r>
            <w:r>
              <w:t xml:space="preserve">(State Bank of Vietnam),</w:t>
            </w:r>
            <w:r>
              <w:t xml:space="preserve"> </w:t>
            </w:r>
            <w:r>
              <w:rPr>
                <w:b/>
                <w:bCs/>
              </w:rPr>
              <w:t xml:space="preserve">effective 6 September 2019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Who must open one</w:t>
            </w:r>
          </w:p>
        </w:tc>
        <w:tc>
          <w:tcPr/>
          <w:p>
            <w:pPr>
              <w:pStyle w:val="Compact"/>
            </w:pPr>
            <w:r>
              <w:t xml:space="preserve">Foreign-invested enterprises and foreign investors —</w:t>
            </w:r>
            <w:r>
              <w:t xml:space="preserve"> </w:t>
            </w:r>
            <w:r>
              <w:rPr>
                <w:b/>
                <w:bCs/>
              </w:rPr>
              <w:t xml:space="preserve">mandatory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Currency of the account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May be in foreign currency or in Vietnamese dong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Uses</w:t>
            </w:r>
          </w:p>
        </w:tc>
        <w:tc>
          <w:tcPr/>
          <w:p>
            <w:pPr>
              <w:pStyle w:val="Compact"/>
            </w:pPr>
            <w:r>
              <w:t xml:space="preserve">Capital contribution; remittance of capital, profits and lawful income abroad; transfer of investment capital and of investment projects</w:t>
            </w:r>
          </w:p>
        </w:tc>
      </w:tr>
    </w:tbl>
    <w:p>
      <w:pPr>
        <w:pStyle w:val="BlockText"/>
      </w:pPr>
      <w:r>
        <w:rPr>
          <w:b/>
          <w:bCs/>
        </w:rPr>
        <w:t xml:space="preserve">On the currency of contributions</w:t>
      </w:r>
      <w:r>
        <w:t xml:space="preserve">: Chinese-language material commonly states that</w:t>
      </w:r>
      <w:r>
        <w:t xml:space="preserve"> </w:t>
      </w:r>
      <w:r>
        <w:t xml:space="preserve">contributions</w:t>
      </w:r>
      <w:r>
        <w:t xml:space="preserve"> </w:t>
      </w:r>
      <w:r>
        <w:t xml:space="preserve">“must be in foreign currency and may not be made in RMB”</w:t>
      </w:r>
      <w:r>
        <w:t xml:space="preserve">. Circular 06/2019,</w:t>
      </w:r>
      <w:r>
        <w:t xml:space="preserve"> </w:t>
      </w:r>
      <w:r>
        <w:t xml:space="preserve">however, provides that a DICA</w:t>
      </w:r>
      <w:r>
        <w:t xml:space="preserve"> </w:t>
      </w:r>
      <w:r>
        <w:rPr>
          <w:b/>
          <w:bCs/>
        </w:rPr>
        <w:t xml:space="preserve">may be a foreign-currency account or a Vietnamese dong</w:t>
      </w:r>
      <w:r>
        <w:rPr>
          <w:b/>
          <w:bCs/>
        </w:rPr>
        <w:t xml:space="preserve"> </w:t>
      </w:r>
      <w:r>
        <w:rPr>
          <w:b/>
          <w:bCs/>
        </w:rPr>
        <w:t xml:space="preserve">account</w:t>
      </w:r>
      <w:r>
        <w:t xml:space="preserve">. There is tension between the two, and this guide</w:t>
      </w:r>
      <w:r>
        <w:t xml:space="preserve"> </w:t>
      </w:r>
      <w:r>
        <w:rPr>
          <w:b/>
          <w:bCs/>
        </w:rPr>
        <w:t xml:space="preserve">has not verified the</w:t>
      </w:r>
      <w:r>
        <w:rPr>
          <w:b/>
          <w:bCs/>
        </w:rPr>
        <w:t xml:space="preserve"> </w:t>
      </w:r>
      <w:r>
        <w:rPr>
          <w:b/>
          <w:bCs/>
        </w:rPr>
        <w:t xml:space="preserve">circular’s provisions on permitted currencies against the primary text</w:t>
      </w:r>
      <w:r>
        <w:t xml:space="preserve">; it therefore</w:t>
      </w:r>
      <w:r>
        <w:t xml:space="preserve"> </w:t>
      </w:r>
      <w:r>
        <w:t xml:space="preserve">neither reproduces the</w:t>
      </w:r>
      <w:r>
        <w:t xml:space="preserve"> </w:t>
      </w:r>
      <w:r>
        <w:t xml:space="preserve">“foreign currency only”</w:t>
      </w:r>
      <w:r>
        <w:t xml:space="preserve"> </w:t>
      </w:r>
      <w:r>
        <w:t xml:space="preserve">assertion nor declares it wrong.</w:t>
      </w:r>
      <w:r>
        <w:t xml:space="preserve"> </w:t>
      </w:r>
      <w:r>
        <w:rPr>
          <w:b/>
          <w:bCs/>
        </w:rPr>
        <w:t xml:space="preserve">Confirm the permitted contribution currency with the account bank and a professional adviser.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iv.-filing-deadlines"/>
    <w:p>
      <w:pPr>
        <w:pStyle w:val="Heading2"/>
      </w:pPr>
      <w:r>
        <w:t xml:space="preserve">IV. Filing Deadlines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No.</w:t>
            </w:r>
          </w:p>
        </w:tc>
        <w:tc>
          <w:tcPr/>
          <w:p>
            <w:pPr>
              <w:pStyle w:val="Compact"/>
            </w:pPr>
            <w:r>
              <w:t xml:space="preserve">Tax</w:t>
            </w:r>
          </w:p>
        </w:tc>
        <w:tc>
          <w:tcPr/>
          <w:p>
            <w:pPr>
              <w:pStyle w:val="Compact"/>
            </w:pPr>
            <w:r>
              <w:t xml:space="preserve">Cycle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Statutory deadline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VAT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No later than the</w:t>
            </w:r>
            <w:r>
              <w:t xml:space="preserve"> </w:t>
            </w:r>
            <w:r>
              <w:rPr>
                <w:b/>
                <w:bCs/>
              </w:rPr>
              <w:t xml:space="preserve">20th day of the following month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VAT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Quarterly</w:t>
            </w:r>
          </w:p>
        </w:tc>
        <w:tc>
          <w:tcPr/>
          <w:p>
            <w:pPr>
              <w:pStyle w:val="Compact"/>
            </w:pPr>
            <w:r>
              <w:t xml:space="preserve">No later than the</w:t>
            </w:r>
            <w:r>
              <w:t xml:space="preserve"> </w:t>
            </w:r>
            <w:r>
              <w:rPr>
                <w:b/>
                <w:bCs/>
              </w:rPr>
              <w:t xml:space="preserve">last day of the first month of the following quarter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PIT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No later than the</w:t>
            </w:r>
            <w:r>
              <w:t xml:space="preserve"> </w:t>
            </w:r>
            <w:r>
              <w:rPr>
                <w:b/>
                <w:bCs/>
              </w:rPr>
              <w:t xml:space="preserve">20th day of the following month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PIT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Quarterly</w:t>
            </w:r>
          </w:p>
        </w:tc>
        <w:tc>
          <w:tcPr/>
          <w:p>
            <w:pPr>
              <w:pStyle w:val="Compact"/>
            </w:pPr>
            <w:r>
              <w:t xml:space="preserve">No later than the</w:t>
            </w:r>
            <w:r>
              <w:t xml:space="preserve"> </w:t>
            </w:r>
            <w:r>
              <w:rPr>
                <w:b/>
                <w:bCs/>
              </w:rPr>
              <w:t xml:space="preserve">last day of the first month of the following quarter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CIT (provisional)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30th day</w:t>
            </w:r>
            <w:r>
              <w:t xml:space="preserve"> </w:t>
            </w:r>
            <w:r>
              <w:t xml:space="preserve">of the first month of the following quarter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CIT (annual finalisation)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  <w:tc>
          <w:tcPr/>
          <w:p>
            <w:pPr>
              <w:pStyle w:val="Compact"/>
            </w:pPr>
            <w:r>
              <w:t xml:space="preserve">Within</w:t>
            </w:r>
            <w:r>
              <w:t xml:space="preserve"> </w:t>
            </w:r>
            <w:r>
              <w:rPr>
                <w:b/>
                <w:bCs/>
              </w:rPr>
              <w:t xml:space="preserve">90 days</w:t>
            </w:r>
            <w:r>
              <w:t xml:space="preserve"> </w:t>
            </w:r>
            <w:r>
              <w:t xml:space="preserve">of the end of the fiscal year</w:t>
            </w:r>
          </w:p>
        </w:tc>
      </w:tr>
    </w:tbl>
    <w:p>
      <w:pPr>
        <w:pStyle w:val="BodyText"/>
      </w:pPr>
      <w:r>
        <w:rPr>
          <w:b/>
          <w:bCs/>
        </w:rPr>
        <w:t xml:space="preserve">Where a deadline falls on a statutory day of rest, it moves to the first working day</w:t>
      </w:r>
      <w:r>
        <w:rPr>
          <w:b/>
          <w:bCs/>
        </w:rPr>
        <w:t xml:space="preserve"> </w:t>
      </w:r>
      <w:r>
        <w:rPr>
          <w:b/>
          <w:bCs/>
        </w:rPr>
        <w:t xml:space="preserve">thereafter.</w:t>
      </w:r>
    </w:p>
    <w:p>
      <w:pPr>
        <w:pStyle w:val="BodyText"/>
      </w:pPr>
      <w:r>
        <w:t xml:space="preserve">Basis:</w:t>
      </w:r>
      <w:r>
        <w:t xml:space="preserve"> </w:t>
      </w:r>
      <w:r>
        <w:rPr>
          <w:b/>
          <w:bCs/>
        </w:rPr>
        <w:t xml:space="preserve">Decree No. 126/2020/NĐ-CP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The source guide was wrong here and has been corrected.</w:t>
      </w:r>
      <w:r>
        <w:t xml:space="preserve"> </w:t>
      </w:r>
      <w:r>
        <w:t xml:space="preserve">Its table recorded VAT and PIT</w:t>
      </w:r>
      <w:r>
        <w:t xml:space="preserve"> </w:t>
      </w:r>
      <w:r>
        <w:t xml:space="preserve">as</w:t>
      </w:r>
      <w:r>
        <w:t xml:space="preserve"> </w:t>
      </w:r>
      <w:r>
        <w:t xml:space="preserve">“quarterly / monthly — within</w:t>
      </w:r>
      <w:r>
        <w:t xml:space="preserve"> </w:t>
      </w:r>
      <w:r>
        <w:rPr>
          <w:b/>
          <w:bCs/>
        </w:rPr>
        <w:t xml:space="preserve">20 days</w:t>
      </w:r>
      <w:r>
        <w:t xml:space="preserve"> </w:t>
      </w:r>
      <w:r>
        <w:t xml:space="preserve">after the end of the declaration period”</w:t>
      </w:r>
      <w:r>
        <w:t xml:space="preserve">,</w:t>
      </w:r>
      <w:r>
        <w:t xml:space="preserve"> </w:t>
      </w:r>
      <w:r>
        <w:t xml:space="preserve">collapsing two cycles into one row with a single deadline.</w:t>
      </w:r>
      <w:r>
        <w:t xml:space="preserve"> </w:t>
      </w:r>
      <w:r>
        <w:rPr>
          <w:b/>
          <w:bCs/>
        </w:rPr>
        <w:t xml:space="preserve">That is right for monthly</w:t>
      </w:r>
      <w:r>
        <w:rPr>
          <w:b/>
          <w:bCs/>
        </w:rPr>
        <w:t xml:space="preserve"> </w:t>
      </w:r>
      <w:r>
        <w:rPr>
          <w:b/>
          <w:bCs/>
        </w:rPr>
        <w:t xml:space="preserve">filing and wrong for quarterly</w:t>
      </w:r>
      <w:r>
        <w:t xml:space="preserve">: the statutory quarterly deadline is the</w:t>
      </w:r>
      <w:r>
        <w:t xml:space="preserve"> </w:t>
      </w:r>
      <w:r>
        <w:rPr>
          <w:b/>
          <w:bCs/>
        </w:rPr>
        <w:t xml:space="preserve">last day of the</w:t>
      </w:r>
      <w:r>
        <w:rPr>
          <w:b/>
          <w:bCs/>
        </w:rPr>
        <w:t xml:space="preserve"> </w:t>
      </w:r>
      <w:r>
        <w:rPr>
          <w:b/>
          <w:bCs/>
        </w:rPr>
        <w:t xml:space="preserve">first month of the following quarter</w:t>
      </w:r>
      <w:r>
        <w:t xml:space="preserve"> </w:t>
      </w:r>
      <w:r>
        <w:t xml:space="preserve">(roughly 30–31 days), not 20 days. This edition</w:t>
      </w:r>
      <w:r>
        <w:t xml:space="preserve"> </w:t>
      </w:r>
      <w:r>
        <w:t xml:space="preserve">separates the cycles.</w:t>
      </w:r>
    </w:p>
    <w:p>
      <w:pPr>
        <w:pStyle w:val="BlockText"/>
      </w:pPr>
      <w:r>
        <w:rPr>
          <w:b/>
          <w:bCs/>
        </w:rPr>
        <w:t xml:space="preserve">The source table also carried a row</w:t>
      </w:r>
      <w:r>
        <w:rPr>
          <w:b/>
          <w:bCs/>
        </w:rPr>
        <w:t xml:space="preserve"> </w:t>
      </w:r>
      <w:r>
        <w:rPr>
          <w:b/>
          <w:bCs/>
        </w:rPr>
        <w:t xml:space="preserve">“Electronic invoice report — quarterly — within 20</w:t>
      </w:r>
      <w:r>
        <w:rPr>
          <w:b/>
          <w:bCs/>
        </w:rPr>
        <w:t xml:space="preserve"> </w:t>
      </w:r>
      <w:r>
        <w:rPr>
          <w:b/>
          <w:bCs/>
        </w:rPr>
        <w:t xml:space="preserve">days of period end”</w:t>
      </w:r>
      <w:r>
        <w:rPr>
          <w:b/>
          <w:bCs/>
        </w:rPr>
        <w:t xml:space="preserve">, which has been removed.</w:t>
      </w:r>
      <w:r>
        <w:t xml:space="preserve"> </w:t>
      </w:r>
      <w:r>
        <w:t xml:space="preserve">With electronic invoicing now general, the</w:t>
      </w:r>
      <w:r>
        <w:t xml:space="preserve"> </w:t>
      </w:r>
      <w:r>
        <w:t xml:space="preserve">paper-era</w:t>
      </w:r>
      <w:r>
        <w:t xml:space="preserve"> </w:t>
      </w:r>
      <w:r>
        <w:t xml:space="preserve">“report on invoice usage”</w:t>
      </w:r>
      <w:r>
        <w:t xml:space="preserve"> </w:t>
      </w:r>
      <w:r>
        <w:t xml:space="preserve">no longer applies in most cases; the current scope of</w:t>
      </w:r>
      <w:r>
        <w:t xml:space="preserve"> </w:t>
      </w:r>
      <w:r>
        <w:t xml:space="preserve">that requirement has not been verified, so under this channel’s editorial rule it is not</w:t>
      </w:r>
      <w:r>
        <w:t xml:space="preserve"> </w:t>
      </w:r>
      <w:r>
        <w:t xml:space="preserve">retained.</w:t>
      </w:r>
    </w:p>
    <w:p>
      <w:r>
        <w:pict>
          <v:rect style="width:0;height:1.5pt" o:hralign="center" o:hrstd="t" o:hr="t"/>
        </w:pict>
      </w:r>
    </w:p>
    <w:bookmarkEnd w:id="25"/>
    <w:bookmarkStart w:id="26" w:name="Xc3089e9a67a88836d74c787347a444df0517afd"/>
    <w:p>
      <w:pPr>
        <w:pStyle w:val="Heading2"/>
      </w:pPr>
      <w:r>
        <w:t xml:space="preserve">V. Initial Steps After Incorporation, in Order</w:t>
      </w:r>
    </w:p>
    <w:p>
      <w:pPr>
        <w:pStyle w:val="Compact"/>
        <w:numPr>
          <w:ilvl w:val="0"/>
          <w:numId w:val="1007"/>
        </w:numPr>
      </w:pPr>
      <w:r>
        <w:t xml:space="preserve">Complete</w:t>
      </w:r>
      <w:r>
        <w:t xml:space="preserve"> </w:t>
      </w:r>
      <w:r>
        <w:rPr>
          <w:b/>
          <w:bCs/>
        </w:rPr>
        <w:t xml:space="preserve">initial tax registration</w:t>
      </w:r>
      <w:r>
        <w:t xml:space="preserve"> </w:t>
      </w:r>
      <w:r>
        <w:t xml:space="preserve">(within 10 days of the ERC being issued).</w:t>
      </w:r>
    </w:p>
    <w:p>
      <w:pPr>
        <w:pStyle w:val="Compact"/>
        <w:numPr>
          <w:ilvl w:val="0"/>
          <w:numId w:val="1007"/>
        </w:numPr>
      </w:pPr>
      <w:r>
        <w:t xml:space="preserve">Open the</w:t>
      </w:r>
      <w:r>
        <w:t xml:space="preserve"> </w:t>
      </w:r>
      <w:r>
        <w:rPr>
          <w:b/>
          <w:bCs/>
        </w:rPr>
        <w:t xml:space="preserve">corporate bank account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Purchase a</w:t>
      </w:r>
      <w:r>
        <w:t xml:space="preserve"> </w:t>
      </w:r>
      <w:r>
        <w:rPr>
          <w:b/>
          <w:bCs/>
        </w:rPr>
        <w:t xml:space="preserve">digital signature</w:t>
      </w:r>
      <w:r>
        <w:t xml:space="preserve"> </w:t>
      </w:r>
      <w:r>
        <w:t xml:space="preserve">and register the</w:t>
      </w:r>
      <w:r>
        <w:t xml:space="preserve"> </w:t>
      </w:r>
      <w:r>
        <w:rPr>
          <w:b/>
          <w:bCs/>
        </w:rPr>
        <w:t xml:space="preserve">electronic tax account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Foreign-invested enterprises additionally open a</w:t>
      </w:r>
      <w:r>
        <w:t xml:space="preserve"> </w:t>
      </w:r>
      <w:r>
        <w:rPr>
          <w:b/>
          <w:bCs/>
        </w:rPr>
        <w:t xml:space="preserve">DICA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Register for and begin issuing</w:t>
      </w:r>
      <w:r>
        <w:t xml:space="preserve"> </w:t>
      </w:r>
      <w:r>
        <w:rPr>
          <w:b/>
          <w:bCs/>
        </w:rPr>
        <w:t xml:space="preserve">electronic invoices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Declare the applicable taxes</w:t>
      </w:r>
      <w:r>
        <w:t xml:space="preserve"> </w:t>
      </w:r>
      <w:r>
        <w:t xml:space="preserve">based on actual operations.</w:t>
      </w:r>
    </w:p>
    <w:p>
      <w:pPr>
        <w:pStyle w:val="Compact"/>
        <w:numPr>
          <w:ilvl w:val="0"/>
          <w:numId w:val="1007"/>
        </w:numPr>
      </w:pPr>
      <w:r>
        <w:t xml:space="preserve">File and pay on time.</w:t>
      </w:r>
    </w:p>
    <w:p>
      <w:r>
        <w:pict>
          <v:rect style="width:0;height:1.5pt" o:hralign="center" o:hrstd="t" o:hr="t"/>
        </w:pict>
      </w:r>
    </w:p>
    <w:bookmarkEnd w:id="26"/>
    <w:bookmarkStart w:id="27" w:name="vi.-legal-basis-referenced-in-this-guide"/>
    <w:p>
      <w:pPr>
        <w:pStyle w:val="Heading2"/>
      </w:pPr>
      <w:r>
        <w:t xml:space="preserve">VI. Legal Basis Referenced in This Guide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Basis</w:t>
            </w:r>
          </w:p>
        </w:tc>
        <w:tc>
          <w:tcPr/>
          <w:p>
            <w:pPr>
              <w:pStyle w:val="Compact"/>
            </w:pPr>
            <w:r>
              <w:t xml:space="preserve">Substance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Abolition of the business licence fee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10, Resolution No. 198/2025/QH15</w:t>
            </w:r>
          </w:p>
        </w:tc>
        <w:tc>
          <w:tcPr/>
          <w:p>
            <w:pPr>
              <w:pStyle w:val="Compact"/>
            </w:pPr>
            <w:r>
              <w:t xml:space="preserve">Collection ceased 01/01/2026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Corporate income tax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Law No. 67/2025/QH15</w:t>
            </w:r>
          </w:p>
        </w:tc>
        <w:tc>
          <w:tcPr/>
          <w:p>
            <w:pPr>
              <w:pStyle w:val="Compact"/>
            </w:pPr>
            <w:r>
              <w:t xml:space="preserve">Effective 01/10/2025; 20% standard, 15%/17% preferential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Value added tax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Law No. 48/2024/QH15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Resolution No. 204/2025/QH15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Decree No. 174/2025/NĐ-CP</w:t>
            </w:r>
          </w:p>
        </w:tc>
        <w:tc>
          <w:tcPr/>
          <w:p>
            <w:pPr>
              <w:pStyle w:val="Compact"/>
            </w:pPr>
            <w:r>
              <w:t xml:space="preserve">Standard 10%; reduced to 8% until 31/12/2026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PIT deductions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Resolution No. 110/2025/UBTVQH15</w:t>
            </w:r>
          </w:p>
        </w:tc>
        <w:tc>
          <w:tcPr/>
          <w:p>
            <w:pPr>
              <w:pStyle w:val="Compact"/>
            </w:pPr>
            <w:r>
              <w:t xml:space="preserve">VND 15.5m / VND 6.2m per month, from the 2026 tax period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threshold</w:t>
            </w:r>
          </w:p>
        </w:tc>
        <w:tc>
          <w:tcPr/>
          <w:p>
            <w:pPr>
              <w:pStyle w:val="Compact"/>
            </w:pPr>
            <w:r>
              <w:t xml:space="preserve">Amended Law on Personal Income Tax</w:t>
            </w:r>
          </w:p>
        </w:tc>
        <w:tc>
          <w:tcPr/>
          <w:p>
            <w:pPr>
              <w:pStyle w:val="Compact"/>
            </w:pPr>
            <w:r>
              <w:t xml:space="preserve">Business households and individuals up to VND 500m/year exempt from VAT and PIT; presumptive method abolished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Electronic invoices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Decree No. 70/2025/NĐ-CP</w:t>
            </w:r>
          </w:p>
        </w:tc>
        <w:tc>
          <w:tcPr/>
          <w:p>
            <w:pPr>
              <w:pStyle w:val="Compact"/>
            </w:pPr>
            <w:r>
              <w:t xml:space="preserve">Effective 01/06/2025; time of issuance and correction of incorrect invoices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Foreign contractor tax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Circular No. 20/2026/TT-BTC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Circular No. 69/2025/TT-BTC</w:t>
            </w:r>
          </w:p>
        </w:tc>
        <w:tc>
          <w:tcPr/>
          <w:p>
            <w:pPr>
              <w:pStyle w:val="Compact"/>
            </w:pPr>
            <w:r>
              <w:t xml:space="preserve">Repeals the contractor CIT provisions of Circular 103/2014; digital services to 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DICA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Circular No. 06/2019/TT-NHNN</w:t>
            </w:r>
          </w:p>
        </w:tc>
        <w:tc>
          <w:tcPr/>
          <w:p>
            <w:pPr>
              <w:pStyle w:val="Compact"/>
            </w:pPr>
            <w:r>
              <w:t xml:space="preserve">Effective 06/09/2019; foreign currency or VND account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Filing deadlines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Decree No. 126/2020/NĐ-CP</w:t>
            </w:r>
          </w:p>
        </w:tc>
        <w:tc>
          <w:tcPr/>
          <w:p>
            <w:pPr>
              <w:pStyle w:val="Compact"/>
            </w:pPr>
            <w:r>
              <w:t xml:space="preserve">Monthly: 20th of the following month; quarterly: last day of the first month of the following quarter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X22e69f04a0f56bdd3301cfd780eab5c07b2ad21"/>
    <w:p>
      <w:pPr>
        <w:pStyle w:val="Heading2"/>
      </w:pPr>
      <w:r>
        <w:t xml:space="preserve">VII. How to Use This Guide, and Its Limits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This is general reference material and does not constitute legal advice or tax advice.</w:t>
      </w:r>
      <w:r>
        <w:t xml:space="preserve"> </w:t>
      </w:r>
      <w:r>
        <w:t xml:space="preserve">Tax treatment varies with sector, capital structure and scale of operations; act on the</w:t>
      </w:r>
      <w:r>
        <w:t xml:space="preserve"> </w:t>
      </w:r>
      <w:r>
        <w:t xml:space="preserve">advice of a Vietnamese-qualified lawyer or tax practitioner.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What this guide deliberately omits</w:t>
      </w:r>
      <w:r>
        <w:t xml:space="preserve">: the progressive PIT rate table, the</w:t>
      </w:r>
      <w:r>
        <w:t xml:space="preserve"> </w:t>
      </w:r>
      <w:r>
        <w:t xml:space="preserve">sector-by-sector FCT rate table, and the rates applying to property leasing above the</w:t>
      </w:r>
      <w:r>
        <w:t xml:space="preserve"> </w:t>
      </w:r>
      <w:r>
        <w:t xml:space="preserve">revenue threshold. None has been verified against the primary legal text, and</w:t>
      </w:r>
      <w:r>
        <w:t xml:space="preserve"> </w:t>
      </w:r>
      <w:r>
        <w:rPr>
          <w:b/>
          <w:bCs/>
        </w:rPr>
        <w:t xml:space="preserve">under this channel’s editorial rule an unverified figure is left out rather than</w:t>
      </w:r>
      <w:r>
        <w:rPr>
          <w:b/>
          <w:bCs/>
        </w:rPr>
        <w:t xml:space="preserve"> </w:t>
      </w:r>
      <w:r>
        <w:rPr>
          <w:b/>
          <w:bCs/>
        </w:rPr>
        <w:t xml:space="preserve">filled in with a plausible-looking number</w:t>
      </w:r>
      <w:r>
        <w:t xml:space="preserve">. Consult the current legal texts or a tax</w:t>
      </w:r>
      <w:r>
        <w:t xml:space="preserve"> </w:t>
      </w:r>
      <w:r>
        <w:t xml:space="preserve">practitioner for these.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These rules are strongly time-sensitive.</w:t>
      </w:r>
      <w:r>
        <w:t xml:space="preserve"> </w:t>
      </w:r>
      <w:r>
        <w:t xml:space="preserve">Within the twenty-four months of 2025–2026</w:t>
      </w:r>
      <w:r>
        <w:t xml:space="preserve"> </w:t>
      </w:r>
      <w:r>
        <w:t xml:space="preserve">Vietnam abolished the business licence fee, enacted a new Corporate Income Tax Law,</w:t>
      </w:r>
      <w:r>
        <w:t xml:space="preserve"> </w:t>
      </w:r>
      <w:r>
        <w:t xml:space="preserve">reduced VAT, raised the revenue threshold, abolished the presumptive method and adjusted</w:t>
      </w:r>
      <w:r>
        <w:t xml:space="preserve"> </w:t>
      </w:r>
      <w:r>
        <w:t xml:space="preserve">the social insurance reference level. This guide reflects the position as at the</w:t>
      </w:r>
      <w:r>
        <w:t xml:space="preserve"> </w:t>
      </w:r>
      <w:r>
        <w:t xml:space="preserve">verification date above.</w:t>
      </w:r>
      <w:r>
        <w:t xml:space="preserve"> </w:t>
      </w:r>
      <w:r>
        <w:rPr>
          <w:b/>
          <w:bCs/>
        </w:rPr>
        <w:t xml:space="preserve">The 8% VAT reduction expires on 31 December 2026</w:t>
      </w:r>
      <w:r>
        <w:t xml:space="preserve"> </w:t>
      </w:r>
      <w:r>
        <w:t xml:space="preserve">— check</w:t>
      </w:r>
      <w:r>
        <w:t xml:space="preserve"> </w:t>
      </w:r>
      <w:r>
        <w:t xml:space="preserve">whether an extending resolution has been issued before relying on it.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This guide contains no information relating to any particular company.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dichvucong.gdt.gov.vn/tthc/homelog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dichvucong.gdt.gov.vn/tthc/homelog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to Tax Procedures and Initial Post-Incorporation Procedures for Enterprises in Vietnam (2026 Edition)</dc:title>
  <dc:creator/>
  <dc:language>en</dc:language>
  <cp:keywords/>
  <dcterms:created xsi:type="dcterms:W3CDTF">2026-10-31T05:14:36Z</dcterms:created>
  <dcterms:modified xsi:type="dcterms:W3CDTF">2026-10-31T05:14:36Z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