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Hướng dẫn thủ tục thuế và thủ tục ban đầu cho doanh nghiệp tại Việt Nam (Bản 2026)</w:t>
      </w:r>
    </w:p>
    <w:bookmarkStart w:id="29" w:name="X9384d5d0c299bdb0fe06b0f6670724fabbf92f8"/>
    <w:p>
      <w:pPr>
        <w:pStyle w:val="Heading1"/>
      </w:pPr>
      <w:r>
        <w:t xml:space="preserve">HƯỚNG DẪN THỦ TỤC THUẾ VÀ THỦ TỤC BAN ĐẦU CHO DOANH NGHIỆP TẠI VIỆT NAM</w:t>
      </w:r>
    </w:p>
    <w:p>
      <w:pPr>
        <w:pStyle w:val="FirstParagraph"/>
      </w:pPr>
      <w:r>
        <w:rPr>
          <w:b/>
          <w:bCs/>
        </w:rPr>
        <w:t xml:space="preserve">Bản 2026</w:t>
      </w:r>
    </w:p>
    <w:p>
      <w:pPr>
        <w:pStyle w:val="BodyText"/>
      </w:pPr>
      <w:r>
        <w:rPr>
          <w:b/>
          <w:bCs/>
        </w:rPr>
        <w:t xml:space="preserve">Ngày rà soát quy định pháp luật: 18/09/2026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Ba thay đổi lớn của bản này so với các bản trước — nếu bạn đang dùng tài liệu</w:t>
      </w:r>
      <w:r>
        <w:rPr>
          <w:b/>
          <w:bCs/>
        </w:rPr>
        <w:t xml:space="preserve"> </w:t>
      </w:r>
      <w:r>
        <w:rPr>
          <w:b/>
          <w:bCs/>
        </w:rPr>
        <w:t xml:space="preserve">từ trước năm 2025, hãy đọc phần này trước.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Lệ phí môn bài đã được bãi bỏ</w:t>
      </w:r>
      <w:r>
        <w:t xml:space="preserve">, chấm dứt thu nộp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.</w:t>
      </w:r>
      <w:r>
        <w:t xml:space="preserve"> </w:t>
      </w:r>
      <w:r>
        <w:t xml:space="preserve">Căn cứ</w:t>
      </w:r>
      <w:r>
        <w:t xml:space="preserve"> </w:t>
      </w:r>
      <w:r>
        <w:rPr>
          <w:b/>
          <w:bCs/>
        </w:rPr>
        <w:t xml:space="preserve">Điều 10 Nghị quyết số 198/2025/QH15</w:t>
      </w:r>
      <w:r>
        <w:t xml:space="preserve"> </w:t>
      </w:r>
      <w:r>
        <w:t xml:space="preserve">(thông qua ngày 17/5/2025).</w:t>
      </w:r>
      <w:r>
        <w:t xml:space="preserve"> </w:t>
      </w:r>
      <w:r>
        <w:t xml:space="preserve">Đây là lần đầu tiên một khoản thu tồn tại gần 60 năm được xóa bỏ hoàn toàn.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Thuế TNDN có thêm hai mức ưu đãi</w:t>
      </w:r>
      <w:r>
        <w:t xml:space="preserve">:</w:t>
      </w:r>
      <w:r>
        <w:t xml:space="preserve"> </w:t>
      </w:r>
      <w:r>
        <w:rPr>
          <w:b/>
          <w:bCs/>
        </w:rPr>
        <w:t xml:space="preserve">15%</w:t>
      </w:r>
      <w:r>
        <w:t xml:space="preserve"> </w:t>
      </w:r>
      <w:r>
        <w:t xml:space="preserve">với doanh thu năm không quá 3 tỷ đồng,</w:t>
      </w:r>
      <w:r>
        <w:t xml:space="preserve"> </w:t>
      </w:r>
      <w:r>
        <w:rPr>
          <w:b/>
          <w:bCs/>
        </w:rPr>
        <w:t xml:space="preserve">17%</w:t>
      </w:r>
      <w:r>
        <w:t xml:space="preserve"> </w:t>
      </w:r>
      <w:r>
        <w:t xml:space="preserve">với doanh thu từ trên 3 tỷ đến 50 tỷ đồng, theo</w:t>
      </w:r>
      <w:r>
        <w:t xml:space="preserve"> </w:t>
      </w:r>
      <w:r>
        <w:rPr>
          <w:b/>
          <w:bCs/>
        </w:rPr>
        <w:t xml:space="preserve">Luật Thuế thu nhập doanh nghiệp số 67/2025/QH15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Ngưỡng doanh thu của hộ và cá nhân kinh doanh được nâng từ 100 triệu lên</w:t>
      </w:r>
      <w:r>
        <w:rPr>
          <w:b/>
          <w:bCs/>
        </w:rPr>
        <w:t xml:space="preserve"> </w:t>
      </w:r>
      <w:r>
        <w:rPr>
          <w:b/>
          <w:bCs/>
        </w:rPr>
        <w:t xml:space="preserve">500 triệu đồng/năm</w:t>
      </w:r>
      <w:r>
        <w:t xml:space="preserve"> </w:t>
      </w:r>
      <w:r>
        <w:t xml:space="preserve">kể từ 01/01/2026; từ mức đó trở xuống được miễn cả thuế GTGT</w:t>
      </w:r>
      <w:r>
        <w:t xml:space="preserve"> </w:t>
      </w:r>
      <w:r>
        <w:t xml:space="preserve">và thuế TNCN, đồng thời</w:t>
      </w:r>
      <w:r>
        <w:t xml:space="preserve"> </w:t>
      </w:r>
      <w:r>
        <w:rPr>
          <w:b/>
          <w:bCs/>
        </w:rPr>
        <w:t xml:space="preserve">bỏ phương pháp khoán, chuyển sang tự kê khai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Miễn thuế không đồng nghĩa miễn kê khai</w:t>
      </w:r>
      <w:r>
        <w:t xml:space="preserve"> </w:t>
      </w:r>
      <w:r>
        <w:t xml:space="preserve">— dưới ngưỡng vẫn phải kê khai</w:t>
      </w:r>
      <w:r>
        <w:t xml:space="preserve"> </w:t>
      </w:r>
      <w:r>
        <w:t xml:space="preserve">đầy đủ, trung thực và đúng hạn.</w:t>
      </w:r>
    </w:p>
    <w:p>
      <w:r>
        <w:pict>
          <v:rect style="width:0;height:1.5pt" o:hralign="center" o:hrstd="t" o:hr="t"/>
        </w:pict>
      </w:r>
    </w:p>
    <w:bookmarkStart w:id="14" w:name="X30701e062d8497bc4cb7ad175c12fdc72ece99d"/>
    <w:p>
      <w:pPr>
        <w:pStyle w:val="Heading2"/>
      </w:pPr>
      <w:r>
        <w:t xml:space="preserve">I. Thủ tục thuế ban đầu sau khi thành lập doanh nghiệp</w:t>
      </w:r>
    </w:p>
    <w:bookmarkStart w:id="9" w:name="khai-thuế-ban-đầu"/>
    <w:p>
      <w:pPr>
        <w:pStyle w:val="Heading3"/>
      </w:pPr>
      <w:r>
        <w:t xml:space="preserve">1.1. Khai thuế ban đầu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Thời hạn</w:t>
      </w:r>
      <w:r>
        <w:t xml:space="preserve">: nộp trong</w:t>
      </w:r>
      <w:r>
        <w:t xml:space="preserve"> </w:t>
      </w:r>
      <w:r>
        <w:rPr>
          <w:b/>
          <w:bCs/>
        </w:rPr>
        <w:t xml:space="preserve">10 ngày</w:t>
      </w:r>
      <w:r>
        <w:t xml:space="preserve"> </w:t>
      </w:r>
      <w:r>
        <w:t xml:space="preserve">kể từ ngày được cấp Giấy chứng nhận đăng ký doanh nghiệp.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Nội dung khai</w:t>
      </w:r>
      <w:r>
        <w:t xml:space="preserve">: vốn điều lệ, ngành nghề kinh doanh, tình hình lao động…</w:t>
      </w:r>
    </w:p>
    <w:bookmarkEnd w:id="9"/>
    <w:bookmarkStart w:id="10" w:name="hồ-sơ-kèm-theo"/>
    <w:p>
      <w:pPr>
        <w:pStyle w:val="Heading3"/>
      </w:pPr>
      <w:r>
        <w:t xml:space="preserve">1.2. Hồ sơ kèm theo</w:t>
      </w:r>
    </w:p>
    <w:p>
      <w:pPr>
        <w:pStyle w:val="Compact"/>
        <w:numPr>
          <w:ilvl w:val="0"/>
          <w:numId w:val="1003"/>
        </w:numPr>
      </w:pPr>
      <w:r>
        <w:t xml:space="preserve">Tờ khai đăng ký chế độ kế toán và hình thức hóa đơn;</w:t>
      </w:r>
    </w:p>
    <w:p>
      <w:pPr>
        <w:pStyle w:val="Compact"/>
        <w:numPr>
          <w:ilvl w:val="0"/>
          <w:numId w:val="1003"/>
        </w:numPr>
      </w:pPr>
      <w:r>
        <w:t xml:space="preserve">Quyết định bổ nhiệm kế toán trưởng và giám đốc / người đại diện theo pháp luật;</w:t>
      </w:r>
    </w:p>
    <w:p>
      <w:pPr>
        <w:pStyle w:val="Compact"/>
        <w:numPr>
          <w:ilvl w:val="0"/>
          <w:numId w:val="1003"/>
        </w:numPr>
      </w:pPr>
      <w:r>
        <w:t xml:space="preserve">Phương pháp trích khấu hao tài sản cố định (nếu có);</w:t>
      </w:r>
    </w:p>
    <w:p>
      <w:pPr>
        <w:pStyle w:val="Compact"/>
        <w:numPr>
          <w:ilvl w:val="0"/>
          <w:numId w:val="1003"/>
        </w:numPr>
      </w:pPr>
      <w:r>
        <w:t xml:space="preserve">Bản sao Giấy chứng nhận đăng ký doanh nghiệp;</w:t>
      </w:r>
    </w:p>
    <w:p>
      <w:pPr>
        <w:pStyle w:val="Compact"/>
        <w:numPr>
          <w:ilvl w:val="0"/>
          <w:numId w:val="1003"/>
        </w:numPr>
      </w:pPr>
      <w:r>
        <w:t xml:space="preserve">Giấy ủy quyền (nếu có).</w:t>
      </w:r>
    </w:p>
    <w:bookmarkEnd w:id="10"/>
    <w:bookmarkStart w:id="12" w:name="đăng-ký-hệ-thống-thuế-điện-tử"/>
    <w:p>
      <w:pPr>
        <w:pStyle w:val="Heading3"/>
      </w:pPr>
      <w:r>
        <w:t xml:space="preserve">1.3. Đăng ký hệ thống thuế điện tử</w:t>
      </w:r>
    </w:p>
    <w:p>
      <w:pPr>
        <w:pStyle w:val="FirstParagraph"/>
      </w:pPr>
      <w:r>
        <w:t xml:space="preserve">Đăng ký tài khoản giao dịch thuế điện tử tại</w:t>
      </w:r>
      <w:r>
        <w:t xml:space="preserve"> </w:t>
      </w:r>
      <w:hyperlink r:id="rId11">
        <w:r>
          <w:rPr>
            <w:rStyle w:val="Hyperlink"/>
          </w:rPr>
          <w:t xml:space="preserve">https://dichvucong.gdt.gov.vn/tthc/homelogin</w:t>
        </w:r>
      </w:hyperlink>
      <w:r>
        <w:t xml:space="preserve">, gắn với chữ ký số</w:t>
      </w:r>
      <w:r>
        <w:t xml:space="preserve"> </w:t>
      </w:r>
      <w:r>
        <w:t xml:space="preserve">để khai và nộp thuế trực tuyến.</w:t>
      </w:r>
    </w:p>
    <w:bookmarkEnd w:id="12"/>
    <w:bookmarkStart w:id="13" w:name="đăng-ký-sử-dụng-hóa-đơn-điện-tử"/>
    <w:p>
      <w:pPr>
        <w:pStyle w:val="Heading3"/>
      </w:pPr>
      <w:r>
        <w:t xml:space="preserve">1.4. Đăng ký sử dụng hóa đơn điện tử</w:t>
      </w:r>
    </w:p>
    <w:p>
      <w:pPr>
        <w:pStyle w:val="FirstParagraph"/>
      </w:pPr>
      <w:r>
        <w:t xml:space="preserve">Thực hiện sau khi hoàn tất thủ tục khai thuế ban đầu.</w:t>
      </w:r>
    </w:p>
    <w:p>
      <w:pPr>
        <w:pStyle w:val="BlockText"/>
      </w:pPr>
      <w:r>
        <w:rPr>
          <w:b/>
          <w:bCs/>
        </w:rPr>
        <w:t xml:space="preserve">Nghị định số 70/2025/NĐ-CP</w:t>
      </w:r>
      <w:r>
        <w:t xml:space="preserve"> </w:t>
      </w:r>
      <w:r>
        <w:t xml:space="preserve">(ban hành 20/3/2025,</w:t>
      </w:r>
      <w:r>
        <w:t xml:space="preserve"> </w:t>
      </w:r>
      <w:r>
        <w:rPr>
          <w:b/>
          <w:bCs/>
        </w:rPr>
        <w:t xml:space="preserve">hiệu lực từ 01/6/2025</w:t>
      </w:r>
      <w:r>
        <w:t xml:space="preserve">)</w:t>
      </w:r>
      <w:r>
        <w:t xml:space="preserve"> </w:t>
      </w:r>
      <w:r>
        <w:t xml:space="preserve">sửa đổi</w:t>
      </w:r>
      <w:r>
        <w:t xml:space="preserve"> </w:t>
      </w:r>
      <w:r>
        <w:rPr>
          <w:b/>
          <w:bCs/>
        </w:rPr>
        <w:t xml:space="preserve">40 trong số 61 điều</w:t>
      </w:r>
      <w:r>
        <w:t xml:space="preserve"> </w:t>
      </w:r>
      <w:r>
        <w:t xml:space="preserve">của Nghị định 123/2020/NĐ-CP.</w:t>
      </w:r>
      <w:r>
        <w:t xml:space="preserve"> </w:t>
      </w:r>
      <w:r>
        <w:t xml:space="preserve">Ba điểm liên quan trực tiếp đến thao tác hằng ngày: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Thời điểm lập hóa đơn</w:t>
      </w:r>
      <w:r>
        <w:t xml:space="preserve"> </w:t>
      </w:r>
      <w:r>
        <w:t xml:space="preserve">đối với bán hàng hóa là</w:t>
      </w:r>
      <w:r>
        <w:t xml:space="preserve"> </w:t>
      </w:r>
      <w:r>
        <w:rPr>
          <w:b/>
          <w:bCs/>
        </w:rPr>
        <w:t xml:space="preserve">thời điểm chuyển giao quyền sở hữu</w:t>
      </w:r>
      <w:r>
        <w:rPr>
          <w:b/>
          <w:bCs/>
        </w:rPr>
        <w:t xml:space="preserve"> </w:t>
      </w:r>
      <w:r>
        <w:rPr>
          <w:b/>
          <w:bCs/>
        </w:rPr>
        <w:t xml:space="preserve">hoặc quyền sử dụng cho người mua, không phân biệt đã thu được tiền hay chưa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Ủy nhiệm lập hóa đơn</w:t>
      </w:r>
      <w:r>
        <w:t xml:space="preserve">: người bán (gồm hộ kinh doanh, cá nhân kinh doanh)</w:t>
      </w:r>
      <w:r>
        <w:t xml:space="preserve"> </w:t>
      </w:r>
      <w:r>
        <w:t xml:space="preserve">được ủy nhiệm cho bên thứ ba lập hóa đơn điện tử.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Xử lý hóa đơn sai</w:t>
      </w:r>
      <w:r>
        <w:t xml:space="preserve">: trước khi điều chỉnh hoặc thay thế hóa đơn điện tử đã lập sai,</w:t>
      </w:r>
      <w:r>
        <w:t xml:space="preserve"> </w:t>
      </w:r>
      <w:r>
        <w:rPr>
          <w:b/>
          <w:bCs/>
        </w:rPr>
        <w:t xml:space="preserve">người bán và người mua phải có văn bản thỏa thuận ghi rõ nội dung sai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20" w:name="ii.-các-sắc-thuế-và-mức-áp-dụng"/>
    <w:p>
      <w:pPr>
        <w:pStyle w:val="Heading2"/>
      </w:pPr>
      <w:r>
        <w:t xml:space="preserve">II. Các sắc thuế và mức áp dụng</w:t>
      </w:r>
    </w:p>
    <w:bookmarkStart w:id="15" w:name="thuế-giá-trị-gia-tăng-gtgt"/>
    <w:p>
      <w:pPr>
        <w:pStyle w:val="Heading3"/>
      </w:pPr>
      <w:r>
        <w:t xml:space="preserve">2.1. Thuế giá trị gia tăng (GTGT)</w:t>
      </w:r>
    </w:p>
    <w:p>
      <w:pPr>
        <w:pStyle w:val="FirstParagraph"/>
      </w:pPr>
      <w:r>
        <w:rPr>
          <w:b/>
          <w:bCs/>
        </w:rPr>
        <w:t xml:space="preserve">Phương pháp khai</w:t>
      </w:r>
      <w:r>
        <w:t xml:space="preserve">: phương pháp khấu trừ hoặc phương pháp tính trực tiếp.</w:t>
      </w:r>
    </w:p>
    <w:p>
      <w:pPr>
        <w:pStyle w:val="BodyText"/>
      </w:pPr>
      <w:r>
        <w:rPr>
          <w:b/>
          <w:bCs/>
        </w:rPr>
        <w:t xml:space="preserve">Kỳ khai thuế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Kỳ khai</w:t>
            </w:r>
          </w:p>
        </w:tc>
        <w:tc>
          <w:tcPr/>
          <w:p>
            <w:pPr>
              <w:pStyle w:val="Compact"/>
            </w:pPr>
            <w:r>
              <w:t xml:space="preserve">Điều kiện áp dụng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Theo tháng</w:t>
            </w:r>
          </w:p>
        </w:tc>
        <w:tc>
          <w:tcPr/>
          <w:p>
            <w:pPr>
              <w:pStyle w:val="Compact"/>
            </w:pPr>
            <w:r>
              <w:t xml:space="preserve">Doanh nghiệp có doanh thu năm trước</w:t>
            </w:r>
            <w:r>
              <w:t xml:space="preserve"> </w:t>
            </w:r>
            <w:r>
              <w:rPr>
                <w:b/>
                <w:bCs/>
              </w:rPr>
              <w:t xml:space="preserve">trên 50 tỷ đồng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Theo quý</w:t>
            </w:r>
          </w:p>
        </w:tc>
        <w:tc>
          <w:tcPr/>
          <w:p>
            <w:pPr>
              <w:pStyle w:val="Compact"/>
            </w:pPr>
            <w:r>
              <w:t xml:space="preserve">Doanh nghiệp có doanh thu năm trước</w:t>
            </w:r>
            <w:r>
              <w:t xml:space="preserve"> </w:t>
            </w:r>
            <w:r>
              <w:rPr>
                <w:b/>
                <w:bCs/>
              </w:rPr>
              <w:t xml:space="preserve">không quá 50 tỷ đồng</w:t>
            </w:r>
            <w:r>
              <w:t xml:space="preserve">, hoặc</w:t>
            </w:r>
            <w:r>
              <w:t xml:space="preserve"> </w:t>
            </w:r>
            <w:r>
              <w:rPr>
                <w:b/>
                <w:bCs/>
              </w:rPr>
              <w:t xml:space="preserve">doanh nghiệp mới thành lập</w:t>
            </w:r>
          </w:p>
        </w:tc>
      </w:tr>
    </w:tbl>
    <w:p>
      <w:pPr>
        <w:pStyle w:val="BodyText"/>
      </w:pPr>
      <w:r>
        <w:rPr>
          <w:b/>
          <w:bCs/>
        </w:rPr>
        <w:t xml:space="preserve">Thuế suất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Chi tiết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Luật hiện hành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Thuế giá trị gia tăng số 48/2024/QH15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Thuế suất phổ thông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Giảm theo giai đoạn</w:t>
            </w:r>
          </w:p>
        </w:tc>
        <w:tc>
          <w:tcPr/>
          <w:p>
            <w:pPr>
              <w:pStyle w:val="Compact"/>
            </w:pPr>
            <w:r>
              <w:t xml:space="preserve">Còn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, áp dụng</w:t>
            </w:r>
            <w:r>
              <w:t xml:space="preserve"> </w:t>
            </w:r>
            <w:r>
              <w:rPr>
                <w:b/>
                <w:bCs/>
              </w:rPr>
              <w:t xml:space="preserve">01/7/2025 – 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Căn cứ giảm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quyết 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Nghị định 174/2025/NĐ-CP</w:t>
            </w:r>
          </w:p>
        </w:tc>
      </w:tr>
    </w:tbl>
    <w:p>
      <w:pPr>
        <w:pStyle w:val="BodyText"/>
      </w:pPr>
      <w:r>
        <w:rPr>
          <w:b/>
          <w:bCs/>
        </w:rPr>
        <w:t xml:space="preserve">Các nhóm không được giảm</w:t>
      </w:r>
      <w:r>
        <w:t xml:space="preserve">: viễn thông, tài chính, ngân hàng, chứng khoán, bảo hiểm,</w:t>
      </w:r>
      <w:r>
        <w:t xml:space="preserve"> </w:t>
      </w:r>
      <w:r>
        <w:t xml:space="preserve">kinh doanh bất động sản, sản phẩm kim loại, sản phẩm khai khoáng (trừ than),</w:t>
      </w:r>
      <w:r>
        <w:t xml:space="preserve"> </w:t>
      </w:r>
      <w:r>
        <w:t xml:space="preserve">và hàng hóa, dịch vụ chịu thuế tiêu thụ đặc biệt (trừ xăng).</w:t>
      </w:r>
    </w:p>
    <w:p>
      <w:pPr>
        <w:pStyle w:val="BlockText"/>
      </w:pPr>
      <w:r>
        <w:rPr>
          <w:b/>
          <w:bCs/>
        </w:rPr>
        <w:t xml:space="preserve">Lưu ý về thời hiệu</w:t>
      </w:r>
      <w:r>
        <w:t xml:space="preserve">: mức giảm 8%</w:t>
      </w:r>
      <w:r>
        <w:t xml:space="preserve"> </w:t>
      </w:r>
      <w:r>
        <w:rPr>
          <w:b/>
          <w:bCs/>
        </w:rPr>
        <w:t xml:space="preserve">hết hiệu lực ngày 31/12/2026</w:t>
      </w:r>
      <w:r>
        <w:t xml:space="preserve">.</w:t>
      </w:r>
      <w:r>
        <w:t xml:space="preserve"> </w:t>
      </w:r>
      <w:r>
        <w:t xml:space="preserve">Nếu không có nghị quyết gia hạn mới, từ năm 2027 quay lại 10%.</w:t>
      </w:r>
      <w:r>
        <w:t xml:space="preserve"> </w:t>
      </w:r>
      <w:r>
        <w:t xml:space="preserve">Khi ký hợp đồng vắt qua năm, cần tính đến điều này trong điều khoản giá.</w:t>
      </w:r>
    </w:p>
    <w:p>
      <w:pPr>
        <w:pStyle w:val="BlockText"/>
      </w:pPr>
      <w:r>
        <w:t xml:space="preserve">Bản hướng dẫn gốc ghi</w:t>
      </w:r>
      <w:r>
        <w:t xml:space="preserve"> </w:t>
      </w:r>
      <w:r>
        <w:t xml:space="preserve">“thuế suất phổ thông: áp dụng theo quy định pháp luật hiện hành”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tức là không đưa ra thuế suất nào</w:t>
      </w:r>
      <w:r>
        <w:t xml:space="preserve">, trong khi đó chính là điều người đọc tra cứu tài liệu này.</w:t>
      </w:r>
    </w:p>
    <w:bookmarkEnd w:id="15"/>
    <w:bookmarkStart w:id="16" w:name="thuế-thu-nhập-doanh-nghiệp-tndn"/>
    <w:p>
      <w:pPr>
        <w:pStyle w:val="Heading3"/>
      </w:pPr>
      <w:r>
        <w:t xml:space="preserve">2.2. Thuế thu nhập doanh nghiệp (TNDN)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Chi tiết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Luật hiện hành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Thuế TNDN số 67/2025/QH15</w:t>
            </w:r>
            <w:r>
              <w:t xml:space="preserve">, Quốc hội thông qua 14/6/2025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Hiệu lực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01/10/2025</w:t>
            </w:r>
            <w:r>
              <w:t xml:space="preserve">, áp dụng từ kỳ tính thuế năm 2025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Thuế suất phổ thông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Mức ưu đãi 15%</w:t>
            </w:r>
          </w:p>
        </w:tc>
        <w:tc>
          <w:tcPr/>
          <w:p>
            <w:pPr>
              <w:pStyle w:val="Compact"/>
            </w:pPr>
            <w:r>
              <w:t xml:space="preserve">Tổng doanh thu năm</w:t>
            </w:r>
            <w:r>
              <w:t xml:space="preserve"> </w:t>
            </w:r>
            <w:r>
              <w:rPr>
                <w:b/>
                <w:bCs/>
              </w:rPr>
              <w:t xml:space="preserve">không quá 3 tỷ đồng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Mức ưu đãi 17%</w:t>
            </w:r>
          </w:p>
        </w:tc>
        <w:tc>
          <w:tcPr/>
          <w:p>
            <w:pPr>
              <w:pStyle w:val="Compact"/>
            </w:pPr>
            <w:r>
              <w:t xml:space="preserve">Tổng doanh thu năm</w:t>
            </w:r>
            <w:r>
              <w:t xml:space="preserve"> </w:t>
            </w:r>
            <w:r>
              <w:rPr>
                <w:b/>
                <w:bCs/>
              </w:rPr>
              <w:t xml:space="preserve">trên 3 tỷ đến 50 tỷ đồng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Căn cứ xác định mức</w:t>
            </w:r>
          </w:p>
        </w:tc>
        <w:tc>
          <w:tcPr/>
          <w:p>
            <w:pPr>
              <w:pStyle w:val="Compact"/>
            </w:pPr>
            <w:r>
              <w:t xml:space="preserve">Tổng doanh thu của</w:t>
            </w:r>
            <w:r>
              <w:t xml:space="preserve"> </w:t>
            </w:r>
            <w:r>
              <w:rPr>
                <w:b/>
                <w:bCs/>
              </w:rPr>
              <w:t xml:space="preserve">kỳ tính thuế TNDN liền kề trước đó</w:t>
            </w:r>
            <w:r>
              <w:t xml:space="preserve">; doanh nghiệp mới thành lập do Chính phủ quy định chi tiết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Cách nộp</w:t>
            </w:r>
          </w:p>
        </w:tc>
        <w:tc>
          <w:tcPr/>
          <w:p>
            <w:pPr>
              <w:pStyle w:val="Compact"/>
            </w:pPr>
            <w:r>
              <w:t xml:space="preserve">Tạm nộp theo quý, quyết toán vào cuối năm tài chính</w:t>
            </w:r>
          </w:p>
        </w:tc>
      </w:tr>
    </w:tbl>
    <w:p>
      <w:pPr>
        <w:pStyle w:val="BlockText"/>
      </w:pPr>
      <w:r>
        <w:rPr>
          <w:b/>
          <w:bCs/>
        </w:rPr>
        <w:t xml:space="preserve">Về nguồn của ngày hiệu lực</w:t>
      </w:r>
      <w:r>
        <w:t xml:space="preserve">: các nguồn thứ cấp đưa ra hai mốc 01/10/2025 và 01/01/2026.</w:t>
      </w:r>
      <w:r>
        <w:t xml:space="preserve"> </w:t>
      </w:r>
      <w:r>
        <w:t xml:space="preserve">Bản hướng dẫn này lấy theo</w:t>
      </w:r>
      <w:r>
        <w:t xml:space="preserve"> </w:t>
      </w:r>
      <w:r>
        <w:rPr>
          <w:b/>
          <w:bCs/>
        </w:rPr>
        <w:t xml:space="preserve">Công báo Chính phủ (congbao.chinhphu.vn)</w:t>
      </w:r>
      <w:r>
        <w:t xml:space="preserve">,</w:t>
      </w:r>
      <w:r>
        <w:t xml:space="preserve"> </w:t>
      </w:r>
      <w:r>
        <w:t xml:space="preserve">mục thuộc tính của văn bản ghi</w:t>
      </w:r>
      <w:r>
        <w:t xml:space="preserve"> </w:t>
      </w:r>
      <w:r>
        <w:rPr>
          <w:rStyle w:val="VerbatimChar"/>
        </w:rPr>
        <w:t xml:space="preserve">Ngày hiệu lực: 01/10/2025</w:t>
      </w:r>
      <w:r>
        <w:t xml:space="preserve">.</w:t>
      </w:r>
    </w:p>
    <w:p>
      <w:pPr>
        <w:pStyle w:val="BlockText"/>
      </w:pPr>
      <w:r>
        <w:t xml:space="preserve">Bản gốc chỉ ghi</w:t>
      </w:r>
      <w:r>
        <w:t xml:space="preserve"> </w:t>
      </w:r>
      <w:r>
        <w:t xml:space="preserve">“thuế suất thường gặp: số tạm nộp = thu nhập chịu thuế × 20%”</w:t>
      </w:r>
      <w:r>
        <w:t xml:space="preserve">,</w:t>
      </w:r>
      <w:r>
        <w:t xml:space="preserve"> </w:t>
      </w:r>
      <w:r>
        <w:rPr>
          <w:b/>
          <w:bCs/>
        </w:rPr>
        <w:t xml:space="preserve">không đề cập hai mức 15% và 17%</w:t>
      </w:r>
      <w:r>
        <w:t xml:space="preserve"> </w:t>
      </w:r>
      <w:r>
        <w:t xml:space="preserve">— trong khi phần lớn doanh nghiệp FDI vừa và nhỏ</w:t>
      </w:r>
      <w:r>
        <w:t xml:space="preserve"> </w:t>
      </w:r>
      <w:r>
        <w:t xml:space="preserve">nằm dưới mốc 50 tỷ đồng, tức là hai mức này mới là mức liên quan nhất với họ.</w:t>
      </w:r>
    </w:p>
    <w:bookmarkEnd w:id="16"/>
    <w:bookmarkStart w:id="17" w:name="thuế-thu-nhập-cá-nhân-tncn"/>
    <w:p>
      <w:pPr>
        <w:pStyle w:val="Heading3"/>
      </w:pPr>
      <w:r>
        <w:t xml:space="preserve">2.3. Thuế thu nhập cá nhân (TNCN)</w:t>
      </w:r>
    </w:p>
    <w:p>
      <w:pPr>
        <w:pStyle w:val="Compact"/>
        <w:numPr>
          <w:ilvl w:val="0"/>
          <w:numId w:val="1005"/>
        </w:numPr>
      </w:pPr>
      <w:r>
        <w:t xml:space="preserve">Áp dụng với cá nhân cư trú có thu nhập chịu thuế từ tiền lương, tiền công.</w:t>
      </w:r>
    </w:p>
    <w:p>
      <w:pPr>
        <w:pStyle w:val="Compact"/>
        <w:numPr>
          <w:ilvl w:val="0"/>
          <w:numId w:val="1005"/>
        </w:numPr>
      </w:pPr>
      <w:r>
        <w:t xml:space="preserve">Khai theo tháng hoặc theo quý tùy quy mô chi trả tiền lương.</w:t>
      </w:r>
    </w:p>
    <w:p>
      <w:pPr>
        <w:pStyle w:val="Compact"/>
        <w:numPr>
          <w:ilvl w:val="0"/>
          <w:numId w:val="1005"/>
        </w:numPr>
      </w:pPr>
      <w:r>
        <w:t xml:space="preserve">Người sử dụng lao động thực hiện khấu trừ tại nguồn.</w:t>
      </w:r>
    </w:p>
    <w:p>
      <w:pPr>
        <w:pStyle w:val="FirstParagraph"/>
      </w:pPr>
      <w:r>
        <w:rPr>
          <w:b/>
          <w:bCs/>
        </w:rPr>
        <w:t xml:space="preserve">Mức giảm trừ gia cảnh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Đối tượng</w:t>
            </w:r>
          </w:p>
        </w:tc>
        <w:tc>
          <w:tcPr/>
          <w:p>
            <w:pPr>
              <w:pStyle w:val="Compact"/>
            </w:pPr>
            <w:r>
              <w:t xml:space="preserve">Mức cũ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Từ năm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Bản thân người nộp thuế</w:t>
            </w:r>
          </w:p>
        </w:tc>
        <w:tc>
          <w:tcPr/>
          <w:p>
            <w:pPr>
              <w:pStyle w:val="Compact"/>
            </w:pPr>
            <w:r>
              <w:t xml:space="preserve">11 triệu đồng/tháng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15,5 triệu đồng/tháng</w:t>
            </w:r>
            <w:r>
              <w:t xml:space="preserve"> </w:t>
            </w:r>
            <w:r>
              <w:t xml:space="preserve">(186 triệu/năm)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Mỗi người phụ thuộc</w:t>
            </w:r>
          </w:p>
        </w:tc>
        <w:tc>
          <w:tcPr/>
          <w:p>
            <w:pPr>
              <w:pStyle w:val="Compact"/>
            </w:pPr>
            <w:r>
              <w:t xml:space="preserve">4,4 triệu đồng/tháng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6,2 triệu đồng/tháng</w:t>
            </w:r>
          </w:p>
        </w:tc>
      </w:tr>
    </w:tbl>
    <w:p>
      <w:pPr>
        <w:pStyle w:val="BodyText"/>
      </w:pPr>
      <w:r>
        <w:t xml:space="preserve">Căn cứ:</w:t>
      </w:r>
      <w:r>
        <w:t xml:space="preserve"> </w:t>
      </w:r>
      <w:r>
        <w:rPr>
          <w:b/>
          <w:bCs/>
        </w:rPr>
        <w:t xml:space="preserve">Nghị quyết số 110/2025/UBTVQH15</w:t>
      </w:r>
      <w:r>
        <w:t xml:space="preserve"> </w:t>
      </w:r>
      <w:r>
        <w:t xml:space="preserve">của Ủy ban Thường vụ Quốc hội</w:t>
      </w:r>
      <w:r>
        <w:t xml:space="preserve"> </w:t>
      </w:r>
      <w:r>
        <w:t xml:space="preserve">(thông qua 17/10/2025),</w:t>
      </w:r>
      <w:r>
        <w:t xml:space="preserve"> </w:t>
      </w:r>
      <w:r>
        <w:rPr>
          <w:b/>
          <w:bCs/>
        </w:rPr>
        <w:t xml:space="preserve">hiệu lực 01/01/2026, áp dụng từ kỳ tính thuế 2026</w:t>
      </w:r>
      <w:r>
        <w:t xml:space="preserve">,</w:t>
      </w:r>
      <w:r>
        <w:t xml:space="preserve"> </w:t>
      </w:r>
      <w:r>
        <w:t xml:space="preserve">thay thế Nghị quyết 954/2020/UBTVQH14. Mức tăng trên 40%.</w:t>
      </w:r>
    </w:p>
    <w:p>
      <w:pPr>
        <w:pStyle w:val="BodyText"/>
      </w:pPr>
      <w:r>
        <w:rPr>
          <w:b/>
          <w:bCs/>
        </w:rPr>
        <w:t xml:space="preserve">Biểu thuế lũy tiến — từ năm 2026 rút từ 7 bậc xuống 5 bậc</w:t>
      </w:r>
      <w:r>
        <w:t xml:space="preserve">:</w:t>
      </w:r>
    </w:p>
    <w:p>
      <w:pPr>
        <w:pStyle w:val="BodyText"/>
      </w:pPr>
      <w:r>
        <w:t xml:space="preserve">Việt Nam đã ban hành</w:t>
      </w:r>
      <w:r>
        <w:t xml:space="preserve"> </w:t>
      </w:r>
      <w:r>
        <w:rPr>
          <w:b/>
          <w:bCs/>
        </w:rPr>
        <w:t xml:space="preserve">Luật Thuế thu nhập cá nhân số 109/2025/QH15</w:t>
      </w:r>
      <w:r>
        <w:t xml:space="preserve"> </w:t>
      </w:r>
      <w:r>
        <w:t xml:space="preserve">(Quốc hội thông qua ngày 10/12/2025; gồm 4 chương, 29 điều),</w:t>
      </w:r>
      <w:r>
        <w:t xml:space="preserve"> </w:t>
      </w:r>
      <w:r>
        <w:rPr>
          <w:b/>
          <w:bCs/>
        </w:rPr>
        <w:t xml:space="preserve">hiệu lực từ 01/7/2026</w:t>
      </w:r>
      <w:r>
        <w:t xml:space="preserve">;</w:t>
      </w:r>
      <w:r>
        <w:t xml:space="preserve"> </w:t>
      </w:r>
      <w:r>
        <w:t xml:space="preserve">các quy định về thu nhập từ kinh doanh và thu nhập từ tiền lương, tiền công của cá nhân cư trú</w:t>
      </w:r>
      <w:r>
        <w:t xml:space="preserve"> </w:t>
      </w:r>
      <w:r>
        <w:rPr>
          <w:b/>
          <w:bCs/>
        </w:rPr>
        <w:t xml:space="preserve">áp dụng từ kỳ tính thuế năm 2026</w:t>
      </w:r>
      <w:r>
        <w:t xml:space="preserve">.</w:t>
      </w:r>
      <w:r>
        <w:t xml:space="preserve"> </w:t>
      </w:r>
      <w:r>
        <w:rPr>
          <w:b/>
          <w:bCs/>
        </w:rPr>
        <w:t xml:space="preserve">Điều 9</w:t>
      </w:r>
      <w:r>
        <w:t xml:space="preserve"> </w:t>
      </w:r>
      <w:r>
        <w:t xml:space="preserve">thay biểu 7 bậc bằng</w:t>
      </w:r>
      <w:r>
        <w:t xml:space="preserve"> </w:t>
      </w:r>
      <w:r>
        <w:rPr>
          <w:b/>
          <w:bCs/>
        </w:rPr>
        <w:t xml:space="preserve">biểu 5 bậc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Bậc</w:t>
            </w:r>
          </w:p>
        </w:tc>
        <w:tc>
          <w:tcPr/>
          <w:p>
            <w:pPr>
              <w:pStyle w:val="Compact"/>
            </w:pPr>
            <w:r>
              <w:t xml:space="preserve">Thu nhập tính thuế/tháng (VNĐ)</w:t>
            </w:r>
          </w:p>
        </w:tc>
        <w:tc>
          <w:tcPr/>
          <w:p>
            <w:pPr>
              <w:pStyle w:val="Compact"/>
            </w:pPr>
            <w:r>
              <w:t xml:space="preserve">Thu nhập tính thuế/năm (VNĐ)</w:t>
            </w:r>
          </w:p>
        </w:tc>
        <w:tc>
          <w:tcPr/>
          <w:p>
            <w:pPr>
              <w:pStyle w:val="Compact"/>
            </w:pPr>
            <w:r>
              <w:t xml:space="preserve">Thuế suất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Đến 10 triệu</w:t>
            </w:r>
          </w:p>
        </w:tc>
        <w:tc>
          <w:tcPr/>
          <w:p>
            <w:pPr>
              <w:pStyle w:val="Compact"/>
            </w:pPr>
            <w:r>
              <w:t xml:space="preserve">Đến 120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Trên 10 đến 30 triệu</w:t>
            </w:r>
          </w:p>
        </w:tc>
        <w:tc>
          <w:tcPr/>
          <w:p>
            <w:pPr>
              <w:pStyle w:val="Compact"/>
            </w:pPr>
            <w:r>
              <w:t xml:space="preserve">Trên 120 đến 360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Trên 30 đến 60 triệu</w:t>
            </w:r>
          </w:p>
        </w:tc>
        <w:tc>
          <w:tcPr/>
          <w:p>
            <w:pPr>
              <w:pStyle w:val="Compact"/>
            </w:pPr>
            <w:r>
              <w:t xml:space="preserve">Trên 360 đến 720 triệu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Trên 60 đến 100 triệu</w:t>
            </w:r>
          </w:p>
        </w:tc>
        <w:tc>
          <w:tcPr/>
          <w:p>
            <w:pPr>
              <w:pStyle w:val="Compact"/>
            </w:pPr>
            <w:r>
              <w:t xml:space="preserve">Trên 720 triệu đến 1,2 tỷ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Trên 100 triệu</w:t>
            </w:r>
          </w:p>
        </w:tc>
        <w:tc>
          <w:tcPr/>
          <w:p>
            <w:pPr>
              <w:pStyle w:val="Compact"/>
            </w:pPr>
            <w:r>
              <w:t xml:space="preserve">Trên 1,2 tỷ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odyText"/>
      </w:pPr>
      <w:r>
        <w:rPr>
          <w:b/>
          <w:bCs/>
        </w:rPr>
        <w:t xml:space="preserve">Thu nhập tính thuế = thu nhập chịu thuế − các khoản giảm trừ</w:t>
      </w:r>
      <w:r>
        <w:t xml:space="preserve"> </w:t>
      </w:r>
      <w:r>
        <w:t xml:space="preserve">(giảm trừ gia cảnh,</w:t>
      </w:r>
      <w:r>
        <w:t xml:space="preserve"> </w:t>
      </w:r>
      <w:r>
        <w:t xml:space="preserve">các khoản bảo hiểm bắt buộc và quỹ hưu trí tự nguyện bổ sung, các khoản đóng góp</w:t>
      </w:r>
      <w:r>
        <w:t xml:space="preserve"> </w:t>
      </w:r>
      <w:r>
        <w:t xml:space="preserve">từ thiện, nhân đạo, khuyến học đủ điều kiện).</w:t>
      </w:r>
    </w:p>
    <w:p>
      <w:pPr>
        <w:pStyle w:val="BlockText"/>
      </w:pPr>
      <w:r>
        <w:rPr>
          <w:b/>
          <w:bCs/>
        </w:rPr>
        <w:t xml:space="preserve">〔Bản hướng dẫn này chưa đưa ra〕</w:t>
      </w:r>
      <w:r>
        <w:t xml:space="preserve"> </w:t>
      </w:r>
      <w:r>
        <w:t xml:space="preserve">tiêu chí đầy đủ xác định cá nhân cư trú /</w:t>
      </w:r>
      <w:r>
        <w:t xml:space="preserve"> </w:t>
      </w:r>
      <w:r>
        <w:t xml:space="preserve">không cư trú. Tiêu chí này liên quan đến cả số ngày có mặt lẫn nơi ở thường xuyên,</w:t>
      </w:r>
      <w:r>
        <w:t xml:space="preserve"> </w:t>
      </w:r>
      <w:r>
        <w:t xml:space="preserve">chưa được rà soát độc lập tới văn bản gốc; theo nguyên tắc biên tập của chuyên mục,</w:t>
      </w:r>
      <w:r>
        <w:t xml:space="preserve"> </w:t>
      </w:r>
      <w:r>
        <w:t xml:space="preserve">nội dung chưa kiểm chứng thì không viết.</w:t>
      </w:r>
    </w:p>
    <w:bookmarkEnd w:id="17"/>
    <w:bookmarkStart w:id="18" w:name="thuế-nhà-thầu-nước-ngoài-fct"/>
    <w:p>
      <w:pPr>
        <w:pStyle w:val="Heading3"/>
      </w:pPr>
      <w:r>
        <w:t xml:space="preserve">2.4. Thuế nhà thầu nước ngoài (FCT)</w:t>
      </w:r>
    </w:p>
    <w:p>
      <w:pPr>
        <w:pStyle w:val="FirstParagraph"/>
      </w:pPr>
      <w:r>
        <w:t xml:space="preserve">Áp dụng khi doanh nghiệp ký hợp đồng cung cấp dịch vụ hoặc hàng hóa với bên nước ngoài.</w:t>
      </w:r>
    </w:p>
    <w:p>
      <w:pPr>
        <w:pStyle w:val="BlockText"/>
      </w:pPr>
      <w:r>
        <w:rPr>
          <w:b/>
          <w:bCs/>
        </w:rPr>
        <w:t xml:space="preserve">Thay đổi quan trọng</w:t>
      </w:r>
      <w:r>
        <w:t xml:space="preserve">:</w:t>
      </w:r>
      <w:r>
        <w:t xml:space="preserve"> </w:t>
      </w:r>
      <w:r>
        <w:rPr>
          <w:b/>
          <w:bCs/>
        </w:rPr>
        <w:t xml:space="preserve">Thông tư 20/2026/TT-BTC</w:t>
      </w:r>
      <w:r>
        <w:t xml:space="preserve"> </w:t>
      </w:r>
      <w:r>
        <w:t xml:space="preserve">(12/3/2026)</w:t>
      </w:r>
      <w:r>
        <w:t xml:space="preserve"> </w:t>
      </w:r>
      <w:r>
        <w:rPr>
          <w:b/>
          <w:bCs/>
        </w:rPr>
        <w:t xml:space="preserve">bãi bỏ</w:t>
      </w:r>
      <w:r>
        <w:t xml:space="preserve"> </w:t>
      </w:r>
      <w:r>
        <w:t xml:space="preserve">các quy định</w:t>
      </w:r>
      <w:r>
        <w:t xml:space="preserve"> </w:t>
      </w:r>
      <w:r>
        <w:rPr>
          <w:b/>
          <w:bCs/>
        </w:rPr>
        <w:t xml:space="preserve">về thuế TNDN đối với nhà thầu nước ngoài</w:t>
      </w:r>
      <w:r>
        <w:t xml:space="preserve"> </w:t>
      </w:r>
      <w:r>
        <w:t xml:space="preserve">tại các Điều 1, 2, 7, 10, 13</w:t>
      </w:r>
      <w:r>
        <w:t xml:space="preserve"> </w:t>
      </w:r>
      <w:r>
        <w:t xml:space="preserve">(trừ điểm 6.11 khoản 1 Điều 13) và 16 của Thông tư 103/2014/TT-BTC.</w:t>
      </w:r>
    </w:p>
    <w:p>
      <w:pPr>
        <w:pStyle w:val="BlockText"/>
      </w:pPr>
      <w:r>
        <w:rPr>
          <w:b/>
          <w:bCs/>
        </w:rPr>
        <w:t xml:space="preserve">Quy định chuyển tiếp</w:t>
      </w:r>
      <w:r>
        <w:t xml:space="preserve">: hợp đồng nhà thầu và hợp đồng thầu phụ ký</w:t>
      </w:r>
      <w:r>
        <w:t xml:space="preserve"> </w:t>
      </w:r>
      <w:r>
        <w:rPr>
          <w:b/>
          <w:bCs/>
        </w:rPr>
        <w:t xml:space="preserve">trước ngày 12/3/2026</w:t>
      </w:r>
      <w:r>
        <w:t xml:space="preserve"> </w:t>
      </w:r>
      <w:r>
        <w:t xml:space="preserve">và áp dụng phương pháp hỗn hợp theo Thông tư 103/2014 tiếp tục áp dụng</w:t>
      </w:r>
      <w:r>
        <w:t xml:space="preserve"> </w:t>
      </w:r>
      <w:r>
        <w:t xml:space="preserve">văn bản pháp luật có hiệu lực tại thời điểm ký.</w:t>
      </w:r>
    </w:p>
    <w:p>
      <w:pPr>
        <w:pStyle w:val="BlockText"/>
      </w:pPr>
      <w:r>
        <w:t xml:space="preserve">Ngoài ra,</w:t>
      </w:r>
      <w:r>
        <w:t xml:space="preserve"> </w:t>
      </w:r>
      <w:r>
        <w:rPr>
          <w:b/>
          <w:bCs/>
        </w:rPr>
        <w:t xml:space="preserve">Thông tư 69/2025/TT-BTC</w:t>
      </w:r>
      <w:r>
        <w:t xml:space="preserve"> </w:t>
      </w:r>
      <w:r>
        <w:t xml:space="preserve">nâng thuế suất GTGT đối với dịch vụ số</w:t>
      </w:r>
      <w:r>
        <w:t xml:space="preserve"> </w:t>
      </w:r>
      <w:r>
        <w:t xml:space="preserve">từ 5% lên</w:t>
      </w:r>
      <w:r>
        <w:t xml:space="preserve"> </w:t>
      </w:r>
      <w:r>
        <w:rPr>
          <w:b/>
          <w:bCs/>
        </w:rPr>
        <w:t xml:space="preserve">10%</w:t>
      </w:r>
      <w:r>
        <w:t xml:space="preserve"> </w:t>
      </w:r>
      <w:r>
        <w:t xml:space="preserve">kể từ</w:t>
      </w:r>
      <w:r>
        <w:t xml:space="preserve"> </w:t>
      </w:r>
      <w:r>
        <w:rPr>
          <w:b/>
          <w:bCs/>
        </w:rPr>
        <w:t xml:space="preserve">01/7/2025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〔Bản hướng dẫn này chưa đưa ra〕</w:t>
      </w:r>
      <w:r>
        <w:t xml:space="preserve"> </w:t>
      </w:r>
      <w:r>
        <w:t xml:space="preserve">bảng thuế suất FCT theo ngành.</w:t>
      </w:r>
      <w:r>
        <w:t xml:space="preserve"> </w:t>
      </w:r>
      <w:r>
        <w:t xml:space="preserve">Dữ liệu phân ngành hiện tra được đến từ website các công ty dịch vụ kế toán,</w:t>
      </w:r>
      <w:r>
        <w:t xml:space="preserve"> </w:t>
      </w:r>
      <w:r>
        <w:t xml:space="preserve">là nguồn thứ cấp và một phần có thể vẫn theo quy định cũ;</w:t>
      </w:r>
      <w:r>
        <w:t xml:space="preserve"> </w:t>
      </w:r>
      <w:r>
        <w:rPr>
          <w:b/>
          <w:bCs/>
        </w:rPr>
        <w:t xml:space="preserve">chưa rà soát tới văn bản gốc nên không liệt kê</w:t>
      </w:r>
      <w:r>
        <w:t xml:space="preserve">.</w:t>
      </w:r>
    </w:p>
    <w:bookmarkEnd w:id="18"/>
    <w:bookmarkStart w:id="19" w:name="lệ-phí-môn-bài-đã-bãi-bỏ"/>
    <w:p>
      <w:pPr>
        <w:pStyle w:val="Heading3"/>
      </w:pPr>
      <w:r>
        <w:t xml:space="preserve">2.5. Lệ phí môn bài —</w:t>
      </w:r>
      <w:r>
        <w:t xml:space="preserve"> </w:t>
      </w:r>
      <w:r>
        <w:rPr>
          <w:b/>
          <w:bCs/>
        </w:rPr>
        <w:t xml:space="preserve">đã bãi bỏ</w:t>
      </w:r>
    </w:p>
    <w:p>
      <w:pPr>
        <w:pStyle w:val="FirstParagraph"/>
      </w:pPr>
      <w:r>
        <w:t xml:space="preserve">Chấm dứt thu nộp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. Căn cứ</w:t>
      </w:r>
      <w:r>
        <w:t xml:space="preserve"> </w:t>
      </w:r>
      <w:r>
        <w:rPr>
          <w:b/>
          <w:bCs/>
        </w:rPr>
        <w:t xml:space="preserve">Điều 10 Nghị quyết số 198/2025/QH15</w:t>
      </w:r>
      <w:r>
        <w:t xml:space="preserve">.</w:t>
      </w:r>
      <w:r>
        <w:t xml:space="preserve"> </w:t>
      </w:r>
      <w:r>
        <w:t xml:space="preserve">Đối tượng áp dụng gồm doanh nghiệp, hộ kinh doanh, cá nhân kinh doanh</w:t>
      </w:r>
      <w:r>
        <w:t xml:space="preserve"> </w:t>
      </w:r>
      <w:r>
        <w:t xml:space="preserve">và các tổ chức, cá nhân khác có liên quan.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4" w:name="iii.-các-loại-tài-khoản-cần-mở"/>
    <w:p>
      <w:pPr>
        <w:pStyle w:val="Heading2"/>
      </w:pPr>
      <w:r>
        <w:t xml:space="preserve">III. Các loại tài khoản cần mở</w:t>
      </w:r>
    </w:p>
    <w:bookmarkStart w:id="21" w:name="tài-khoản-ngân-hàng"/>
    <w:p>
      <w:pPr>
        <w:pStyle w:val="Heading3"/>
      </w:pPr>
      <w:r>
        <w:t xml:space="preserve">3.1. Tài khoản ngân hàng</w:t>
      </w:r>
    </w:p>
    <w:p>
      <w:pPr>
        <w:pStyle w:val="FirstParagraph"/>
      </w:pPr>
      <w:r>
        <w:t xml:space="preserve">Dùng cho giao dịch, chi trả tiền lương, nhận vốn góp và nộp thuế.</w:t>
      </w:r>
    </w:p>
    <w:bookmarkEnd w:id="21"/>
    <w:bookmarkStart w:id="22" w:name="tài-khoản-giao-dịch-thuế-điện-tử"/>
    <w:p>
      <w:pPr>
        <w:pStyle w:val="Heading3"/>
      </w:pPr>
      <w:r>
        <w:t xml:space="preserve">3.2. Tài khoản giao dịch thuế điện tử</w:t>
      </w:r>
    </w:p>
    <w:p>
      <w:pPr>
        <w:pStyle w:val="Compact"/>
        <w:numPr>
          <w:ilvl w:val="0"/>
          <w:numId w:val="1006"/>
        </w:numPr>
      </w:pPr>
      <w:r>
        <w:t xml:space="preserve">Đăng ký tại</w:t>
      </w:r>
      <w:r>
        <w:t xml:space="preserve"> </w:t>
      </w:r>
      <w:hyperlink r:id="rId11">
        <w:r>
          <w:rPr>
            <w:rStyle w:val="Hyperlink"/>
          </w:rPr>
          <w:t xml:space="preserve">https://dichvucong.gdt.gov.vn/tthc/homelogin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Gắn chữ ký số để khai và nộp thuế trực tuyến.</w:t>
      </w:r>
    </w:p>
    <w:bookmarkEnd w:id="22"/>
    <w:bookmarkStart w:id="23" w:name="tài-khoản-vốn-đầu-tư-trực-tiếp-dica"/>
    <w:p>
      <w:pPr>
        <w:pStyle w:val="Heading3"/>
      </w:pPr>
      <w:r>
        <w:t xml:space="preserve">3.3. Tài khoản vốn đầu tư trực tiếp (DICA)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Chi tiết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  <w:r>
              <w:t xml:space="preserve"> </w:t>
            </w:r>
            <w:r>
              <w:t xml:space="preserve">(Ngân hàng Nhà nước),</w:t>
            </w:r>
            <w:r>
              <w:t xml:space="preserve"> </w:t>
            </w:r>
            <w:r>
              <w:rPr>
                <w:b/>
                <w:bCs/>
              </w:rPr>
              <w:t xml:space="preserve">hiệu lực 06/9/2019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Đối tượng</w:t>
            </w:r>
          </w:p>
        </w:tc>
        <w:tc>
          <w:tcPr/>
          <w:p>
            <w:pPr>
              <w:pStyle w:val="Compact"/>
            </w:pPr>
            <w:r>
              <w:t xml:space="preserve">Doanh nghiệp FDI và nhà đầu tư nước ngoài,</w:t>
            </w:r>
            <w:r>
              <w:t xml:space="preserve"> </w:t>
            </w:r>
            <w:r>
              <w:rPr>
                <w:b/>
                <w:bCs/>
              </w:rPr>
              <w:t xml:space="preserve">bắt buộc</w:t>
            </w:r>
            <w:r>
              <w:t xml:space="preserve"> </w:t>
            </w:r>
            <w:r>
              <w:t xml:space="preserve">mở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Loại tiền của tài khoản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Có thể bằng ngoại tệ, cũng có thể bằng đồng Việt Nam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Mục đích sử dụng</w:t>
            </w:r>
          </w:p>
        </w:tc>
        <w:tc>
          <w:tcPr/>
          <w:p>
            <w:pPr>
              <w:pStyle w:val="Compact"/>
            </w:pPr>
            <w:r>
              <w:t xml:space="preserve">Góp vốn; chuyển vốn, lợi nhuận và nguồn thu hợp pháp ra nước ngoài; chuyển nhượng vốn đầu tư và dự án đầu tư</w:t>
            </w:r>
          </w:p>
        </w:tc>
      </w:tr>
    </w:tbl>
    <w:p>
      <w:pPr>
        <w:pStyle w:val="BlockText"/>
      </w:pPr>
      <w:r>
        <w:rPr>
          <w:b/>
          <w:bCs/>
        </w:rPr>
        <w:t xml:space="preserve">Về loại tiền góp vốn</w:t>
      </w:r>
      <w:r>
        <w:t xml:space="preserve">: nhiều tài liệu tiếng Trung ghi</w:t>
      </w:r>
      <w:r>
        <w:t xml:space="preserve"> </w:t>
      </w:r>
      <w:r>
        <w:t xml:space="preserve">“bắt buộc góp bằng ngoại tệ,</w:t>
      </w:r>
      <w:r>
        <w:t xml:space="preserve"> </w:t>
      </w:r>
      <w:r>
        <w:t xml:space="preserve">không được góp bằng nhân dân tệ”</w:t>
      </w:r>
      <w:r>
        <w:t xml:space="preserve">. Tuy nhiên Thông tư 06/2019 quy định rõ DICA</w:t>
      </w:r>
      <w:r>
        <w:t xml:space="preserve"> </w:t>
      </w:r>
      <w:r>
        <w:rPr>
          <w:b/>
          <w:bCs/>
        </w:rPr>
        <w:t xml:space="preserve">có thể là tài khoản ngoại tệ, cũng có thể là tài khoản đồng Việt Nam</w:t>
      </w:r>
      <w:r>
        <w:t xml:space="preserve">.</w:t>
      </w:r>
      <w:r>
        <w:t xml:space="preserve"> </w:t>
      </w:r>
      <w:r>
        <w:t xml:space="preserve">Hai cách diễn đạt có độ vênh, và bản hướng dẫn này</w:t>
      </w:r>
      <w:r>
        <w:t xml:space="preserve"> </w:t>
      </w:r>
      <w:r>
        <w:rPr>
          <w:b/>
          <w:bCs/>
        </w:rPr>
        <w:t xml:space="preserve">chưa rà soát tới điều khoản gốc</w:t>
      </w:r>
      <w:r>
        <w:rPr>
          <w:b/>
          <w:bCs/>
        </w:rPr>
        <w:t xml:space="preserve"> </w:t>
      </w:r>
      <w:r>
        <w:rPr>
          <w:b/>
          <w:bCs/>
        </w:rPr>
        <w:t xml:space="preserve">về loại tiền được phép</w:t>
      </w:r>
      <w:r>
        <w:t xml:space="preserve">, nên không chép lại khẳng định</w:t>
      </w:r>
      <w:r>
        <w:t xml:space="preserve"> </w:t>
      </w:r>
      <w:r>
        <w:t xml:space="preserve">“bắt buộc ngoại tệ”</w:t>
      </w:r>
      <w:r>
        <w:t xml:space="preserve">,</w:t>
      </w:r>
      <w:r>
        <w:t xml:space="preserve"> </w:t>
      </w:r>
      <w:r>
        <w:t xml:space="preserve">cũng không kết luận rằng nó sai.</w:t>
      </w:r>
      <w:r>
        <w:t xml:space="preserve"> </w:t>
      </w:r>
      <w:r>
        <w:rPr>
          <w:b/>
          <w:bCs/>
        </w:rPr>
        <w:t xml:space="preserve">Vui lòng xác nhận loại tiền góp vốn cụ thể với ngân hàng mở tài khoản và chuyên gia tư vấn.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iv.-thời-hạn-nộp-hồ-sơ-khai-thuế"/>
    <w:p>
      <w:pPr>
        <w:pStyle w:val="Heading2"/>
      </w:pPr>
      <w:r>
        <w:t xml:space="preserve">IV. Thời hạn nộp hồ sơ khai thuế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Sắc thuế</w:t>
            </w:r>
          </w:p>
        </w:tc>
        <w:tc>
          <w:tcPr/>
          <w:p>
            <w:pPr>
              <w:pStyle w:val="Compact"/>
            </w:pPr>
            <w:r>
              <w:t xml:space="preserve">Kỳ khai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Thời hạn luật định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Thuế GTGT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Theo tháng</w:t>
            </w:r>
          </w:p>
        </w:tc>
        <w:tc>
          <w:tcPr/>
          <w:p>
            <w:pPr>
              <w:pStyle w:val="Compact"/>
            </w:pPr>
            <w:r>
              <w:t xml:space="preserve">Chậm nhất</w:t>
            </w:r>
            <w:r>
              <w:t xml:space="preserve"> </w:t>
            </w:r>
            <w:r>
              <w:rPr>
                <w:b/>
                <w:bCs/>
              </w:rPr>
              <w:t xml:space="preserve">ngày 20 của tháng tiếp theo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Thuế GTGT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Theo quý</w:t>
            </w:r>
          </w:p>
        </w:tc>
        <w:tc>
          <w:tcPr/>
          <w:p>
            <w:pPr>
              <w:pStyle w:val="Compact"/>
            </w:pPr>
            <w:r>
              <w:t xml:space="preserve">Chậm nhất</w:t>
            </w:r>
            <w:r>
              <w:t xml:space="preserve"> </w:t>
            </w:r>
            <w:r>
              <w:rPr>
                <w:b/>
                <w:bCs/>
              </w:rPr>
              <w:t xml:space="preserve">ngày cuối cùng của tháng đầu quý tiếp theo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Thuế TNCN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Theo tháng</w:t>
            </w:r>
          </w:p>
        </w:tc>
        <w:tc>
          <w:tcPr/>
          <w:p>
            <w:pPr>
              <w:pStyle w:val="Compact"/>
            </w:pPr>
            <w:r>
              <w:t xml:space="preserve">Chậm nhất</w:t>
            </w:r>
            <w:r>
              <w:t xml:space="preserve"> </w:t>
            </w:r>
            <w:r>
              <w:rPr>
                <w:b/>
                <w:bCs/>
              </w:rPr>
              <w:t xml:space="preserve">ngày 20 của tháng tiếp theo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Thuế TNCN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Theo quý</w:t>
            </w:r>
          </w:p>
        </w:tc>
        <w:tc>
          <w:tcPr/>
          <w:p>
            <w:pPr>
              <w:pStyle w:val="Compact"/>
            </w:pPr>
            <w:r>
              <w:t xml:space="preserve">Chậm nhất</w:t>
            </w:r>
            <w:r>
              <w:t xml:space="preserve"> </w:t>
            </w:r>
            <w:r>
              <w:rPr>
                <w:b/>
                <w:bCs/>
              </w:rPr>
              <w:t xml:space="preserve">ngày cuối cùng của tháng đầu quý tiếp theo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Thuế TNDN (tạm nộp)</w:t>
            </w:r>
          </w:p>
        </w:tc>
        <w:tc>
          <w:tcPr/>
          <w:p>
            <w:pPr>
              <w:pStyle w:val="Compact"/>
            </w:pPr>
            <w:r>
              <w:t xml:space="preserve">Theo quý</w:t>
            </w:r>
          </w:p>
        </w:tc>
        <w:tc>
          <w:tcPr/>
          <w:p>
            <w:pPr>
              <w:pStyle w:val="Compact"/>
            </w:pPr>
            <w:r>
              <w:t xml:space="preserve">Ngày</w:t>
            </w:r>
            <w:r>
              <w:t xml:space="preserve"> </w:t>
            </w:r>
            <w:r>
              <w:rPr>
                <w:b/>
                <w:bCs/>
              </w:rPr>
              <w:t xml:space="preserve">30</w:t>
            </w:r>
            <w:r>
              <w:t xml:space="preserve"> </w:t>
            </w:r>
            <w:r>
              <w:t xml:space="preserve">của tháng đầu quý tiếp theo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Thuế TNDN (quyết toán năm)</w:t>
            </w:r>
          </w:p>
        </w:tc>
        <w:tc>
          <w:tcPr/>
          <w:p>
            <w:pPr>
              <w:pStyle w:val="Compact"/>
            </w:pPr>
            <w:r>
              <w:t xml:space="preserve">Năm</w:t>
            </w:r>
          </w:p>
        </w:tc>
        <w:tc>
          <w:tcPr/>
          <w:p>
            <w:pPr>
              <w:pStyle w:val="Compact"/>
            </w:pPr>
            <w:r>
              <w:t xml:space="preserve">Trong</w:t>
            </w:r>
            <w:r>
              <w:t xml:space="preserve"> </w:t>
            </w:r>
            <w:r>
              <w:rPr>
                <w:b/>
                <w:bCs/>
              </w:rPr>
              <w:t xml:space="preserve">90 ngày</w:t>
            </w:r>
            <w:r>
              <w:t xml:space="preserve"> </w:t>
            </w:r>
            <w:r>
              <w:t xml:space="preserve">kể từ khi kết thúc năm tài chính</w:t>
            </w:r>
          </w:p>
        </w:tc>
      </w:tr>
    </w:tbl>
    <w:p>
      <w:pPr>
        <w:pStyle w:val="BodyText"/>
      </w:pPr>
      <w:r>
        <w:rPr>
          <w:b/>
          <w:bCs/>
        </w:rPr>
        <w:t xml:space="preserve">Trường hợp thời hạn trùng với ngày nghỉ theo quy định thì được tính là ngày làm việc</w:t>
      </w:r>
      <w:r>
        <w:rPr>
          <w:b/>
          <w:bCs/>
        </w:rPr>
        <w:t xml:space="preserve"> </w:t>
      </w:r>
      <w:r>
        <w:rPr>
          <w:b/>
          <w:bCs/>
        </w:rPr>
        <w:t xml:space="preserve">tiếp theo của ngày nghỉ đó.</w:t>
      </w:r>
    </w:p>
    <w:p>
      <w:pPr>
        <w:pStyle w:val="BodyText"/>
      </w:pPr>
      <w:r>
        <w:t xml:space="preserve">Căn cứ:</w:t>
      </w:r>
      <w:r>
        <w:t xml:space="preserve"> </w:t>
      </w:r>
      <w:r>
        <w:rPr>
          <w:b/>
          <w:bCs/>
        </w:rPr>
        <w:t xml:space="preserve">Nghị định số 126/2020/NĐ-CP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Bản hướng dẫn gốc có lỗi ở phần này và đã được sửa.</w:t>
      </w:r>
      <w:r>
        <w:t xml:space="preserve"> </w:t>
      </w:r>
      <w:r>
        <w:t xml:space="preserve">Bảng gốc ghi thuế GTGT và TNCN là</w:t>
      </w:r>
      <w:r>
        <w:t xml:space="preserve"> </w:t>
      </w:r>
      <w:r>
        <w:t xml:space="preserve">“theo quý / theo tháng — trong</w:t>
      </w:r>
      <w:r>
        <w:t xml:space="preserve"> </w:t>
      </w:r>
      <w:r>
        <w:rPr>
          <w:b/>
          <w:bCs/>
        </w:rPr>
        <w:t xml:space="preserve">20 ngày</w:t>
      </w:r>
      <w:r>
        <w:t xml:space="preserve"> </w:t>
      </w:r>
      <w:r>
        <w:t xml:space="preserve">sau khi kết thúc kỳ khai”</w:t>
      </w:r>
      <w:r>
        <w:t xml:space="preserve">, gộp hai kỳ khai</w:t>
      </w:r>
      <w:r>
        <w:t xml:space="preserve"> </w:t>
      </w:r>
      <w:r>
        <w:t xml:space="preserve">vào một dòng với cùng một thời hạn.</w:t>
      </w:r>
      <w:r>
        <w:t xml:space="preserve"> </w:t>
      </w:r>
      <w:r>
        <w:rPr>
          <w:b/>
          <w:bCs/>
        </w:rPr>
        <w:t xml:space="preserve">Điều này đúng với kỳ tháng nhưng sai với kỳ quý</w:t>
      </w:r>
      <w:r>
        <w:t xml:space="preserve">:</w:t>
      </w:r>
      <w:r>
        <w:t xml:space="preserve"> </w:t>
      </w:r>
      <w:r>
        <w:t xml:space="preserve">thời hạn luật định của kỳ quý là</w:t>
      </w:r>
      <w:r>
        <w:t xml:space="preserve"> </w:t>
      </w:r>
      <w:r>
        <w:rPr>
          <w:b/>
          <w:bCs/>
        </w:rPr>
        <w:t xml:space="preserve">ngày cuối cùng của tháng đầu quý tiếp theo</w:t>
      </w:r>
      <w:r>
        <w:t xml:space="preserve"> </w:t>
      </w:r>
      <w:r>
        <w:t xml:space="preserve">(khoảng 30–31 ngày), không phải 20 ngày. Bản này tách theo kỳ khai.</w:t>
      </w:r>
    </w:p>
    <w:p>
      <w:pPr>
        <w:pStyle w:val="BlockText"/>
      </w:pPr>
      <w:r>
        <w:rPr>
          <w:b/>
          <w:bCs/>
        </w:rPr>
        <w:t xml:space="preserve">Bảng gốc còn có dòng</w:t>
      </w:r>
      <w:r>
        <w:rPr>
          <w:b/>
          <w:bCs/>
        </w:rPr>
        <w:t xml:space="preserve"> </w:t>
      </w:r>
      <w:r>
        <w:rPr>
          <w:b/>
          <w:bCs/>
        </w:rPr>
        <w:t xml:space="preserve">“Báo cáo hóa đơn điện tử — quý — trong 20 ngày sau khi kết thúc kỳ”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bản này đã bỏ.</w:t>
      </w:r>
      <w:r>
        <w:t xml:space="preserve"> </w:t>
      </w:r>
      <w:r>
        <w:t xml:space="preserve">Khi hóa đơn điện tử được áp dụng toàn diện,</w:t>
      </w:r>
      <w:r>
        <w:t xml:space="preserve"> </w:t>
      </w:r>
      <w:r>
        <w:t xml:space="preserve">“báo cáo tình hình sử dụng</w:t>
      </w:r>
      <w:r>
        <w:t xml:space="preserve"> </w:t>
      </w:r>
      <w:r>
        <w:t xml:space="preserve">hóa đơn”</w:t>
      </w:r>
      <w:r>
        <w:t xml:space="preserve"> </w:t>
      </w:r>
      <w:r>
        <w:t xml:space="preserve">của thời kỳ hóa đơn giấy phần lớn không còn áp dụng; phạm vi áp dụng hiện hành</w:t>
      </w:r>
      <w:r>
        <w:t xml:space="preserve"> </w:t>
      </w:r>
      <w:r>
        <w:t xml:space="preserve">của dòng này chưa được rà soát, nên theo nguyên tắc biên tập không giữ lại.</w:t>
      </w:r>
    </w:p>
    <w:p>
      <w:r>
        <w:pict>
          <v:rect style="width:0;height:1.5pt" o:hralign="center" o:hrstd="t" o:hr="t"/>
        </w:pict>
      </w:r>
    </w:p>
    <w:bookmarkEnd w:id="25"/>
    <w:bookmarkStart w:id="26" w:name="X179ccffb24433beb744573bdb01ddfd188ff625"/>
    <w:p>
      <w:pPr>
        <w:pStyle w:val="Heading2"/>
      </w:pPr>
      <w:r>
        <w:t xml:space="preserve">V. Các bước ban đầu sau khi thành lập công ty (theo trình tự)</w:t>
      </w:r>
    </w:p>
    <w:p>
      <w:pPr>
        <w:pStyle w:val="Compact"/>
        <w:numPr>
          <w:ilvl w:val="0"/>
          <w:numId w:val="1007"/>
        </w:numPr>
      </w:pPr>
      <w:r>
        <w:t xml:space="preserve">Thực hiện</w:t>
      </w:r>
      <w:r>
        <w:t xml:space="preserve"> </w:t>
      </w:r>
      <w:r>
        <w:rPr>
          <w:b/>
          <w:bCs/>
        </w:rPr>
        <w:t xml:space="preserve">đăng ký thuế ban đầu</w:t>
      </w:r>
      <w:r>
        <w:t xml:space="preserve"> </w:t>
      </w:r>
      <w:r>
        <w:t xml:space="preserve">(trong 10 ngày kể từ ngày được cấp ERC).</w:t>
      </w:r>
    </w:p>
    <w:p>
      <w:pPr>
        <w:pStyle w:val="Compact"/>
        <w:numPr>
          <w:ilvl w:val="0"/>
          <w:numId w:val="1007"/>
        </w:numPr>
      </w:pPr>
      <w:r>
        <w:t xml:space="preserve">Mở</w:t>
      </w:r>
      <w:r>
        <w:t xml:space="preserve"> </w:t>
      </w:r>
      <w:r>
        <w:rPr>
          <w:b/>
          <w:bCs/>
        </w:rPr>
        <w:t xml:space="preserve">tài khoản ngân hàng</w:t>
      </w:r>
      <w:r>
        <w:t xml:space="preserve"> </w:t>
      </w:r>
      <w:r>
        <w:t xml:space="preserve">của công ty.</w:t>
      </w:r>
    </w:p>
    <w:p>
      <w:pPr>
        <w:pStyle w:val="Compact"/>
        <w:numPr>
          <w:ilvl w:val="0"/>
          <w:numId w:val="1007"/>
        </w:numPr>
      </w:pPr>
      <w:r>
        <w:t xml:space="preserve">Mua</w:t>
      </w:r>
      <w:r>
        <w:t xml:space="preserve"> </w:t>
      </w:r>
      <w:r>
        <w:rPr>
          <w:b/>
          <w:bCs/>
        </w:rPr>
        <w:t xml:space="preserve">chữ ký số</w:t>
      </w:r>
      <w:r>
        <w:t xml:space="preserve"> </w:t>
      </w:r>
      <w:r>
        <w:t xml:space="preserve">và đăng ký</w:t>
      </w:r>
      <w:r>
        <w:t xml:space="preserve"> </w:t>
      </w:r>
      <w:r>
        <w:rPr>
          <w:b/>
          <w:bCs/>
        </w:rPr>
        <w:t xml:space="preserve">tài khoản thuế điện tử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Doanh nghiệp FDI mở thêm</w:t>
      </w:r>
      <w:r>
        <w:t xml:space="preserve"> </w:t>
      </w:r>
      <w:r>
        <w:rPr>
          <w:b/>
          <w:bCs/>
        </w:rPr>
        <w:t xml:space="preserve">tài khoản DICA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Đăng ký và phát hành</w:t>
      </w:r>
      <w:r>
        <w:t xml:space="preserve"> </w:t>
      </w:r>
      <w:r>
        <w:rPr>
          <w:b/>
          <w:bCs/>
        </w:rPr>
        <w:t xml:space="preserve">hóa đơn điện tử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Kê khai các sắc thuế</w:t>
      </w:r>
      <w:r>
        <w:t xml:space="preserve"> </w:t>
      </w:r>
      <w:r>
        <w:t xml:space="preserve">theo tình hình hoạt động thực tế.</w:t>
      </w:r>
    </w:p>
    <w:p>
      <w:pPr>
        <w:pStyle w:val="Compact"/>
        <w:numPr>
          <w:ilvl w:val="0"/>
          <w:numId w:val="1007"/>
        </w:numPr>
      </w:pPr>
      <w:r>
        <w:t xml:space="preserve">Kê khai đúng hạn và nộp thuế đúng thời hạn.</w:t>
      </w:r>
    </w:p>
    <w:p>
      <w:r>
        <w:pict>
          <v:rect style="width:0;height:1.5pt" o:hralign="center" o:hrstd="t" o:hr="t"/>
        </w:pict>
      </w:r>
    </w:p>
    <w:bookmarkEnd w:id="26"/>
    <w:bookmarkStart w:id="27" w:name="vi.-căn-cứ-pháp-lý-được-dẫn-chiếu"/>
    <w:p>
      <w:pPr>
        <w:pStyle w:val="Heading2"/>
      </w:pPr>
      <w:r>
        <w:t xml:space="preserve">VI. Căn cứ pháp lý được dẫn chiếu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đề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Bãi bỏ lệ phí môn bài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10 Nghị quyết 198/2025/QH15</w:t>
            </w:r>
          </w:p>
        </w:tc>
        <w:tc>
          <w:tcPr/>
          <w:p>
            <w:pPr>
              <w:pStyle w:val="Compact"/>
            </w:pPr>
            <w:r>
              <w:t xml:space="preserve">Chấm dứt thu nộp từ 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Thuế TNDN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số 67/2025/QH15</w:t>
            </w:r>
          </w:p>
        </w:tc>
        <w:tc>
          <w:tcPr/>
          <w:p>
            <w:pPr>
              <w:pStyle w:val="Compact"/>
            </w:pPr>
            <w:r>
              <w:t xml:space="preserve">Hiệu lực 01/10/2025; phổ thông 20%, ưu đãi 15%/17%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Thuế GTGT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số 48/2024/QH15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Nghị quyết 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Nghị định 174/2025/NĐ-CP</w:t>
            </w:r>
          </w:p>
        </w:tc>
        <w:tc>
          <w:tcPr/>
          <w:p>
            <w:pPr>
              <w:pStyle w:val="Compact"/>
            </w:pPr>
            <w:r>
              <w:t xml:space="preserve">Phổ thông 10%; giảm 8% đến 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Giảm trừ gia cảnh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quyết 110/2025/UBTVQH15</w:t>
            </w:r>
          </w:p>
        </w:tc>
        <w:tc>
          <w:tcPr/>
          <w:p>
            <w:pPr>
              <w:pStyle w:val="Compact"/>
            </w:pPr>
            <w:r>
              <w:t xml:space="preserve">15,5 triệu / 6,2 triệu đồng/tháng, từ kỳ tính thuế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Ngưỡng doanh thu</w:t>
            </w:r>
          </w:p>
        </w:tc>
        <w:tc>
          <w:tcPr/>
          <w:p>
            <w:pPr>
              <w:pStyle w:val="Compact"/>
            </w:pPr>
            <w:r>
              <w:t xml:space="preserve">Luật Thuế TNCN sửa đổi</w:t>
            </w:r>
          </w:p>
        </w:tc>
        <w:tc>
          <w:tcPr/>
          <w:p>
            <w:pPr>
              <w:pStyle w:val="Compact"/>
            </w:pPr>
            <w:r>
              <w:t xml:space="preserve">Hộ và cá nhân kinh doanh đến 500 triệu đồng/năm miễn GTGT và TNCN; bỏ khoán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Hóa đơn điện tử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định 70/2025/NĐ-CP</w:t>
            </w:r>
          </w:p>
        </w:tc>
        <w:tc>
          <w:tcPr/>
          <w:p>
            <w:pPr>
              <w:pStyle w:val="Compact"/>
            </w:pPr>
            <w:r>
              <w:t xml:space="preserve">Hiệu lực 01/6/2025; thời điểm lập hóa đơn và xử lý hóa đơn sai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Thuế nhà thầu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20/2026/TT-BTC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Thông tư 69/2025/TT-BTC</w:t>
            </w:r>
          </w:p>
        </w:tc>
        <w:tc>
          <w:tcPr/>
          <w:p>
            <w:pPr>
              <w:pStyle w:val="Compact"/>
            </w:pPr>
            <w:r>
              <w:t xml:space="preserve">Bãi bỏ quy định TNDN nhà thầu tại TT 103/2014; dịch vụ số lên 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</w:p>
        </w:tc>
        <w:tc>
          <w:tcPr/>
          <w:p>
            <w:pPr>
              <w:pStyle w:val="Compact"/>
            </w:pPr>
            <w:r>
              <w:t xml:space="preserve">Hiệu lực 06/9/2019; tài khoản ngoại tệ hoặc VNĐ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Thời hạn khai thuế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định 126/2020/NĐ-CP</w:t>
            </w:r>
          </w:p>
        </w:tc>
        <w:tc>
          <w:tcPr/>
          <w:p>
            <w:pPr>
              <w:pStyle w:val="Compact"/>
            </w:pPr>
            <w:r>
              <w:t xml:space="preserve">Theo tháng: ngày 20 tháng sau; theo quý: ngày cuối tháng đầu quý sau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vii.-hướng-dẫn-sử-dụng-và-lưu-ý-rủi-ro"/>
    <w:p>
      <w:pPr>
        <w:pStyle w:val="Heading2"/>
      </w:pPr>
      <w:r>
        <w:t xml:space="preserve">VII. Hướng dẫn sử dụng và lưu ý rủi ro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Đây là tài liệu tham khảo chung, không phải ý kiến pháp lý hoặc tư vấn thuế.</w:t>
      </w:r>
      <w:r>
        <w:t xml:space="preserve"> </w:t>
      </w:r>
      <w:r>
        <w:t xml:space="preserve">Ngành nghề, cơ cấu vốn và quy mô hoạt động khác nhau thì cách xử lý thuế cũng khác nhau;</w:t>
      </w:r>
      <w:r>
        <w:t xml:space="preserve"> </w:t>
      </w:r>
      <w:r>
        <w:t xml:space="preserve">vui lòng thực hiện theo ý kiến của luật sư hành nghề hoặc chuyên gia thuế tại Việt Nam.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Những nội dung bản hướng dẫn này cố ý không viết</w:t>
      </w:r>
      <w:r>
        <w:t xml:space="preserve">: biểu thuế lũy tiến thuế TNCN,</w:t>
      </w:r>
      <w:r>
        <w:t xml:space="preserve"> </w:t>
      </w:r>
      <w:r>
        <w:t xml:space="preserve">bảng thuế suất FCT theo ngành, và thuế suất cụ thể với hoạt động cho thuê tài sản</w:t>
      </w:r>
      <w:r>
        <w:t xml:space="preserve"> </w:t>
      </w:r>
      <w:r>
        <w:t xml:space="preserve">khi vượt ngưỡng. Ba nội dung này chưa được rà soát tới văn bản gốc;</w:t>
      </w:r>
      <w:r>
        <w:t xml:space="preserve"> </w:t>
      </w:r>
      <w:r>
        <w:rPr>
          <w:b/>
          <w:bCs/>
        </w:rPr>
        <w:t xml:space="preserve">theo nguyên tắc biên tập, con số chưa kiểm chứng thì không viết</w:t>
      </w:r>
      <w:r>
        <w:t xml:space="preserve">,</w:t>
      </w:r>
      <w:r>
        <w:t xml:space="preserve"> </w:t>
      </w:r>
      <w:r>
        <w:t xml:space="preserve">thay vì điền một giá trị nghe có vẻ hợp lý.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Quy định pháp luật có tính thời điểm rất mạnh.</w:t>
      </w:r>
      <w:r>
        <w:t xml:space="preserve"> </w:t>
      </w:r>
      <w:r>
        <w:t xml:space="preserve">Trong 24 tháng của giai đoạn 2025–2026,</w:t>
      </w:r>
      <w:r>
        <w:t xml:space="preserve"> </w:t>
      </w:r>
      <w:r>
        <w:t xml:space="preserve">Việt Nam đã bãi bỏ lệ phí môn bài, ban hành Luật Thuế TNDN mới, giảm thuế GTGT,</w:t>
      </w:r>
      <w:r>
        <w:t xml:space="preserve"> </w:t>
      </w:r>
      <w:r>
        <w:t xml:space="preserve">nâng ngưỡng doanh thu, bỏ phương pháp khoán và điều chỉnh mức tham chiếu BHXH.</w:t>
      </w:r>
      <w:r>
        <w:t xml:space="preserve"> </w:t>
      </w:r>
      <w:r>
        <w:t xml:space="preserve">Bản này phản ánh quy định hiện hành tính đến ngày rà soát nêu trên.</w:t>
      </w:r>
      <w:r>
        <w:t xml:space="preserve"> </w:t>
      </w:r>
      <w:r>
        <w:rPr>
          <w:b/>
          <w:bCs/>
        </w:rPr>
        <w:t xml:space="preserve">Riêng mức giảm thuế GTGT 8% hết hiệu lực ngày 31/12/2026</w:t>
      </w:r>
      <w:r>
        <w:t xml:space="preserve"> </w:t>
      </w:r>
      <w:r>
        <w:t xml:space="preserve">— trước khi sử dụng,</w:t>
      </w:r>
      <w:r>
        <w:t xml:space="preserve"> </w:t>
      </w:r>
      <w:r>
        <w:t xml:space="preserve">vui lòng kiểm tra đã có nghị quyết gia hạn mới hay chưa.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Tài liệu này không chứa thông tin của bất kỳ doanh nghiệp cụ thể nào.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ichvucong.gdt.gov.vn/tthc/home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ichvucong.gdt.gov.vn/tthc/home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Hướng dẫn thủ tục thuế và thủ tục ban đầu cho doanh nghiệp tại Việt Nam (Bản 2026)</dc:title>
  <dc:creator/>
  <dc:language>vi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